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color w:val="000000"/>
          <w:sz w:val="18"/>
        </w:rPr>
      </w:pPr>
      <w:r>
        <w:rPr>
          <w:rFonts w:ascii="Arial;sans-serif" w:hAnsi="Arial;sans-serif"/>
          <w:b/>
          <w:color w:val="000000"/>
          <w:sz w:val="1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pPr>
      <w:r>
        <w:rPr>
          <w:rFonts w:ascii="Arial;sans-serif" w:hAnsi="Arial;sans-serif"/>
          <w:b w:val="false"/>
          <w:color w:val="000000"/>
          <w:sz w:val="18"/>
        </w:rPr>
        <w:t xml:space="preserve">For the quarterly period ended </w:t>
      </w:r>
      <w:r>
        <w:rPr>
          <w:rFonts w:ascii="Arial;sans-serif" w:hAnsi="Arial;sans-serif"/>
          <w:b w:val="false"/>
          <w:color w:val="000000"/>
          <w:sz w:val="18"/>
          <w:u w:val="single"/>
        </w:rPr>
        <w:t>June 30, 2026</w:t>
      </w:r>
      <w:r>
        <w:rPr>
          <w:color w:val="000000"/>
        </w:rPr>
        <w:t xml:space="preserve">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lineRule="auto" w:line="288" w:before="0" w:after="160"/>
        <w:jc w:val="center"/>
        <w:rPr/>
      </w:pPr>
      <w:r>
        <w:rPr>
          <w:rFonts w:ascii="Arial;sans-serif" w:hAnsi="Arial;sans-serif"/>
          <w:b w:val="false"/>
          <w:color w:val="000000"/>
          <w:sz w:val="18"/>
        </w:rPr>
        <w:t xml:space="preserve">Commission File Number </w:t>
      </w:r>
      <w:r>
        <w:rPr>
          <w:rFonts w:ascii="Arial;sans-serif" w:hAnsi="Arial;sans-serif"/>
          <w:b w:val="false"/>
          <w:color w:val="000000"/>
          <w:sz w:val="18"/>
          <w:u w:val="single"/>
        </w:rPr>
        <w:t>001-36117</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Delaware</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 08054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(856) 505-8800</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4"/>
        <w:gridCol w:w="764"/>
        <w:gridCol w:w="767"/>
        <w:gridCol w:w="142"/>
        <w:gridCol w:w="142"/>
        <w:gridCol w:w="1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Accelerated filer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$0.01 par value, outstanding as of the close of business on July 31, 2026: 12,825,786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0"/>
        <w:gridCol w:w="262"/>
        <w:gridCol w:w="2920"/>
        <w:gridCol w:w="2920"/>
        <w:gridCol w:w="2927"/>
        <w:gridCol w:w="180"/>
        <w:gridCol w:w="180"/>
        <w:gridCol w:w="259"/>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0">
              <w:r>
                <w:rPr>
                  <w:rStyle w:val="InternetLink"/>
                  <w:rFonts w:ascii="Arial;sans-serif" w:hAnsi="Arial;sans-serif"/>
                  <w:b/>
                  <w:strike w:val="false"/>
                  <w:dstrike w:val="false"/>
                  <w:color w:val="000000"/>
                  <w:sz w:val="20"/>
                  <w:u w:val="none"/>
                  <w:effect w:val="none"/>
                </w:rPr>
                <w:t>PART I.</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0">
              <w:r>
                <w:rPr>
                  <w:rStyle w:val="InternetLink"/>
                  <w:rFonts w:ascii="Arial;sans-serif" w:hAnsi="Arial;sans-serif"/>
                  <w:b/>
                  <w:strike w:val="false"/>
                  <w:dstrike w:val="false"/>
                  <w:color w:val="000000"/>
                  <w:sz w:val="20"/>
                  <w:u w:val="none"/>
                  <w:effect w:val="none"/>
                </w:rPr>
                <w:t>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3">
              <w:r>
                <w:rPr>
                  <w:rStyle w:val="InternetLink"/>
                  <w:rFonts w:ascii="Arial;sans-serif" w:hAnsi="Arial;sans-serif"/>
                  <w:b/>
                  <w:i/>
                  <w:strike w:val="false"/>
                  <w:dstrike w:val="false"/>
                  <w:color w:val="C02026"/>
                  <w:sz w:val="20"/>
                  <w:u w:val="none"/>
                  <w:effect w:val="none"/>
                </w:rPr>
                <w:t>Item 1.</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3">
              <w:r>
                <w:rPr>
                  <w:rStyle w:val="InternetLink"/>
                  <w:rFonts w:ascii="Arial;sans-serif" w:hAnsi="Arial;sans-serif"/>
                  <w:b/>
                  <w:i/>
                  <w:strike w:val="false"/>
                  <w:dstrike w:val="false"/>
                  <w:color w:val="C02026"/>
                  <w:sz w:val="20"/>
                  <w:u w:val="none"/>
                  <w:effect w:val="non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3">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6">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June 30, 2026</w:t>
            </w:r>
            <w:hyperlink w:anchor="i7a70f8f40b8c49a8b80536f6955ee71b_16">
              <w:r>
                <w:rPr>
                  <w:rStyle w:val="InternetLink"/>
                  <w:rFonts w:ascii="Arial;sans-serif" w:hAnsi="Arial;sans-serif"/>
                  <w:b w:val="false"/>
                  <w:strike w:val="false"/>
                  <w:dstrike w:val="false"/>
                  <w:color w:val="000000"/>
                  <w:sz w:val="20"/>
                  <w:u w:val="none"/>
                  <w:effect w:val="none"/>
                </w:rPr>
                <w:t xml:space="preserve"> (Unaudited) and</w:t>
              </w:r>
            </w:hyperlink>
            <w:r>
              <w:rPr>
                <w:rFonts w:ascii="Arial;sans-serif" w:hAnsi="Arial;sans-serif"/>
                <w:b w:val="false"/>
                <w:color w:val="000000"/>
                <w:sz w:val="20"/>
              </w:rPr>
              <w:t xml:space="preserve"> December 31, 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6">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a70f8f40b8c49a8b80536f6955ee71b_19">
              <w:r>
                <w:rPr>
                  <w:rStyle w:val="InternetLink"/>
                  <w:rFonts w:ascii="Arial;sans-serif" w:hAnsi="Arial;sans-serif"/>
                  <w:b w:val="false"/>
                  <w:strike w:val="false"/>
                  <w:dstrike w:val="false"/>
                  <w:color w:val="000000"/>
                  <w:sz w:val="20"/>
                  <w:u w:val="none"/>
                  <w:effect w:val="none"/>
                </w:rPr>
                <w:t xml:space="preserve">Unaudited Consolidated Statements of Operations for the </w:t>
              </w:r>
            </w:hyperlink>
            <w:r>
              <w:rPr>
                <w:rFonts w:ascii="Arial;sans-serif" w:hAnsi="Arial;sans-serif"/>
                <w:b w:val="false"/>
                <w:color w:val="000000"/>
                <w:sz w:val="20"/>
              </w:rPr>
              <w:t>three and six</w:t>
            </w:r>
            <w:hyperlink w:anchor="i7a70f8f40b8c49a8b80536f6955ee71b_19">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2026</w:t>
            </w:r>
            <w:hyperlink w:anchor="i7a70f8f40b8c49a8b80536f6955ee71b_19">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9">
              <w:r>
                <w:rPr>
                  <w:rStyle w:val="InternetLink"/>
                  <w:rFonts w:ascii="Arial;sans-serif" w:hAnsi="Arial;sans-serif"/>
                  <w:b w:val="false"/>
                  <w:strike w:val="false"/>
                  <w:dstrike w:val="false"/>
                  <w:color w:val="000000"/>
                  <w:sz w:val="20"/>
                  <w:u w:val="none"/>
                  <w:effect w:val="none"/>
                </w:rPr>
                <w:t>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a70f8f40b8c49a8b80536f6955ee71b_22">
              <w:r>
                <w:rPr>
                  <w:rStyle w:val="InternetLink"/>
                  <w:rFonts w:ascii="Arial;sans-serif" w:hAnsi="Arial;sans-serif"/>
                  <w:b w:val="false"/>
                  <w:strike w:val="false"/>
                  <w:dstrike w:val="false"/>
                  <w:color w:val="000080"/>
                  <w:sz w:val="20"/>
                  <w:u w:val="single"/>
                  <w:effect w:val="none"/>
                </w:rPr>
                <w:t>Unaudited Consolidated Statements of Comprehensive Earnings</w:t>
              </w:r>
            </w:hyperlink>
            <w:hyperlink w:anchor="i7a70f8f40b8c49a8b80536f6955ee71b_22">
              <w:r>
                <w:rPr>
                  <w:rStyle w:val="InternetLink"/>
                  <w:rFonts w:ascii="Arial;sans-serif" w:hAnsi="Arial;sans-serif"/>
                  <w:b w:val="false"/>
                  <w:strike w:val="false"/>
                  <w:dstrike w:val="false"/>
                  <w:color w:val="000080"/>
                  <w:sz w:val="20"/>
                  <w:u w:val="single"/>
                  <w:effect w:val="none"/>
                </w:rPr>
                <w:t xml:space="preserve"> (Loss)</w:t>
              </w:r>
            </w:hyperlink>
            <w:hyperlink w:anchor="i7a70f8f40b8c49a8b80536f6955ee71b_22">
              <w:r>
                <w:rPr>
                  <w:rStyle w:val="InternetLink"/>
                  <w:rFonts w:ascii="Arial;sans-serif" w:hAnsi="Arial;sans-serif"/>
                  <w:b w:val="false"/>
                  <w:strike w:val="false"/>
                  <w:dstrike w:val="false"/>
                  <w:color w:val="000080"/>
                  <w:sz w:val="20"/>
                  <w:u w:val="single"/>
                  <w:effect w:val="none"/>
                </w:rPr>
                <w:t xml:space="preserve"> for the </w:t>
              </w:r>
            </w:hyperlink>
            <w:r>
              <w:rPr>
                <w:rFonts w:ascii="Arial;sans-serif" w:hAnsi="Arial;sans-serif"/>
                <w:b w:val="false"/>
                <w:color w:val="000000"/>
                <w:sz w:val="20"/>
              </w:rPr>
              <w:t xml:space="preserve">three and six </w:t>
            </w:r>
            <w:hyperlink w:anchor="i7a70f8f40b8c49a8b80536f6955ee71b_22">
              <w:r>
                <w:rPr>
                  <w:rStyle w:val="InternetLink"/>
                  <w:rFonts w:ascii="Arial;sans-serif" w:hAnsi="Arial;sans-serif"/>
                  <w:b w:val="false"/>
                  <w:strike w:val="false"/>
                  <w:dstrike w:val="false"/>
                  <w:color w:val="000000"/>
                  <w:sz w:val="20"/>
                  <w:u w:val="none"/>
                  <w:effect w:val="none"/>
                </w:rPr>
                <w:t xml:space="preserve">months ended </w:t>
              </w:r>
            </w:hyperlink>
            <w:r>
              <w:rPr>
                <w:rFonts w:ascii="Arial;sans-serif" w:hAnsi="Arial;sans-serif"/>
                <w:b w:val="false"/>
                <w:color w:val="000000"/>
                <w:sz w:val="20"/>
              </w:rPr>
              <w:t>June 30, 2026</w:t>
            </w:r>
            <w:hyperlink w:anchor="i7a70f8f40b8c49a8b80536f6955ee71b_2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2">
              <w:r>
                <w:rPr>
                  <w:rStyle w:val="InternetLink"/>
                  <w:rFonts w:ascii="Arial;sans-serif" w:hAnsi="Arial;sans-serif"/>
                  <w:b w:val="false"/>
                  <w:strike w:val="false"/>
                  <w:dstrike w:val="false"/>
                  <w:color w:val="000000"/>
                  <w:sz w:val="20"/>
                  <w:u w:val="none"/>
                  <w:effect w:val="none"/>
                </w:rPr>
                <w:t>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a70f8f40b8c49a8b80536f6955ee71b_25">
              <w:r>
                <w:rPr>
                  <w:rStyle w:val="InternetLink"/>
                  <w:rFonts w:ascii="Arial;sans-serif" w:hAnsi="Arial;sans-serif"/>
                  <w:b w:val="false"/>
                  <w:strike w:val="false"/>
                  <w:dstrike w:val="false"/>
                  <w:color w:val="000080"/>
                  <w:sz w:val="20"/>
                  <w:u w:val="single"/>
                  <w:effect w:val="none"/>
                </w:rPr>
                <w:t>Unaudited Consolidated Statements of Stockholders</w:t>
              </w:r>
            </w:hyperlink>
            <w:hyperlink w:anchor="i7a70f8f40b8c49a8b80536f6955ee71b_25">
              <w:r>
                <w:rPr>
                  <w:rStyle w:val="InternetLink"/>
                  <w:rFonts w:ascii="Arial;sans-serif" w:hAnsi="Arial;sans-serif"/>
                  <w:b w:val="false"/>
                  <w:strike w:val="false"/>
                  <w:dstrike w:val="false"/>
                  <w:color w:val="000080"/>
                  <w:sz w:val="20"/>
                  <w:u w:val="single"/>
                  <w:effect w:val="none"/>
                </w:rPr>
                <w:t>’</w:t>
              </w:r>
            </w:hyperlink>
            <w:hyperlink w:anchor="i7a70f8f40b8c49a8b80536f6955ee71b_25">
              <w:r>
                <w:rPr>
                  <w:rStyle w:val="InternetLink"/>
                  <w:rFonts w:ascii="Arial;sans-serif" w:hAnsi="Arial;sans-serif"/>
                  <w:b w:val="false"/>
                  <w:strike w:val="false"/>
                  <w:dstrike w:val="false"/>
                  <w:color w:val="000080"/>
                  <w:sz w:val="20"/>
                  <w:u w:val="single"/>
                  <w:effect w:val="none"/>
                </w:rPr>
                <w:t xml:space="preserve"> Equity for the </w:t>
              </w:r>
            </w:hyperlink>
            <w:r>
              <w:rPr>
                <w:rFonts w:ascii="Arial;sans-serif" w:hAnsi="Arial;sans-serif"/>
                <w:b w:val="false"/>
                <w:color w:val="000000"/>
                <w:sz w:val="20"/>
              </w:rPr>
              <w:t>three and six</w:t>
            </w:r>
            <w:hyperlink w:anchor="i7a70f8f40b8c49a8b80536f6955ee71b_25">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2026</w:t>
            </w:r>
            <w:hyperlink w:anchor="i7a70f8f40b8c49a8b80536f6955ee71b_2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5">
              <w:r>
                <w:rPr>
                  <w:rStyle w:val="InternetLink"/>
                  <w:rFonts w:ascii="Arial;sans-serif" w:hAnsi="Arial;sans-serif"/>
                  <w:b w:val="false"/>
                  <w:strike w:val="false"/>
                  <w:dstrike w:val="false"/>
                  <w:color w:val="000000"/>
                  <w:sz w:val="20"/>
                  <w:u w:val="none"/>
                  <w:effect w:val="none"/>
                </w:rPr>
                <w:t>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7a70f8f40b8c49a8b80536f6955ee71b_28">
              <w:r>
                <w:rPr>
                  <w:rStyle w:val="InternetLink"/>
                  <w:rFonts w:ascii="Arial;sans-serif" w:hAnsi="Arial;sans-serif"/>
                  <w:b w:val="false"/>
                  <w:strike w:val="false"/>
                  <w:dstrike w:val="false"/>
                  <w:color w:val="000000"/>
                  <w:sz w:val="20"/>
                  <w:u w:val="none"/>
                  <w:effect w:val="none"/>
                </w:rPr>
                <w:t xml:space="preserve">Unaudited Consolidated Statements of Cash Flows for the </w:t>
              </w:r>
            </w:hyperlink>
            <w:r>
              <w:rPr>
                <w:rFonts w:ascii="Arial;sans-serif" w:hAnsi="Arial;sans-serif"/>
                <w:b w:val="false"/>
                <w:color w:val="000000"/>
                <w:sz w:val="20"/>
              </w:rPr>
              <w:t>six</w:t>
            </w:r>
            <w:hyperlink w:anchor="i7a70f8f40b8c49a8b80536f6955ee71b_28">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2026</w:t>
            </w:r>
            <w:hyperlink w:anchor="i7a70f8f40b8c49a8b80536f6955ee71b_2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2025</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8">
              <w:r>
                <w:rPr>
                  <w:rStyle w:val="InternetLink"/>
                  <w:rFonts w:ascii="Arial;sans-serif" w:hAnsi="Arial;sans-serif"/>
                  <w:b w:val="false"/>
                  <w:strike w:val="false"/>
                  <w:dstrike w:val="false"/>
                  <w:color w:val="000000"/>
                  <w:sz w:val="20"/>
                  <w:u w:val="none"/>
                  <w:effect w:val="none"/>
                </w:rPr>
                <w:t>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31">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34">
              <w:r>
                <w:rPr>
                  <w:rStyle w:val="InternetLink"/>
                  <w:rFonts w:ascii="Arial;sans-serif" w:hAnsi="Arial;sans-serif"/>
                  <w:b w:val="false"/>
                  <w:strike w:val="false"/>
                  <w:dstrike w:val="false"/>
                  <w:color w:val="000000"/>
                  <w:sz w:val="20"/>
                  <w:u w:val="none"/>
                  <w:effect w:val="none"/>
                </w:rPr>
                <w:t>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48">
              <w:r>
                <w:rPr>
                  <w:rStyle w:val="InternetLink"/>
                  <w:rFonts w:ascii="Arial;sans-serif" w:hAnsi="Arial;sans-serif"/>
                  <w:b/>
                  <w:i/>
                  <w:strike w:val="false"/>
                  <w:dstrike w:val="false"/>
                  <w:color w:val="C02026"/>
                  <w:sz w:val="20"/>
                  <w:u w:val="none"/>
                  <w:effect w:val="none"/>
                </w:rPr>
                <w:t>Item 2.</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48">
              <w:r>
                <w:rPr>
                  <w:rStyle w:val="InternetLink"/>
                  <w:rFonts w:ascii="Arial;sans-serif" w:hAnsi="Arial;sans-serif"/>
                  <w:b/>
                  <w:i/>
                  <w:strike w:val="false"/>
                  <w:dstrike w:val="false"/>
                  <w:color w:val="C02026"/>
                  <w:sz w:val="20"/>
                  <w:u w:val="none"/>
                  <w:effect w:val="non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48">
              <w:r>
                <w:rPr>
                  <w:rStyle w:val="InternetLink"/>
                  <w:rFonts w:ascii="Arial;sans-serif" w:hAnsi="Arial;sans-serif"/>
                  <w:b w:val="false"/>
                  <w:strike w:val="false"/>
                  <w:dstrike w:val="false"/>
                  <w:color w:val="000000"/>
                  <w:sz w:val="20"/>
                  <w:u w:val="none"/>
                  <w:effect w:val="none"/>
                </w:rPr>
                <w:t>38</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78">
              <w:r>
                <w:rPr>
                  <w:rStyle w:val="InternetLink"/>
                  <w:rFonts w:ascii="Arial;sans-serif" w:hAnsi="Arial;sans-serif"/>
                  <w:b/>
                  <w:i/>
                  <w:strike w:val="false"/>
                  <w:dstrike w:val="false"/>
                  <w:color w:val="C02026"/>
                  <w:sz w:val="20"/>
                  <w:u w:val="none"/>
                  <w:effect w:val="none"/>
                </w:rPr>
                <w:t>Item 3.</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78">
              <w:r>
                <w:rPr>
                  <w:rStyle w:val="InternetLink"/>
                  <w:rFonts w:ascii="Arial;sans-serif" w:hAnsi="Arial;sans-serif"/>
                  <w:b/>
                  <w:i/>
                  <w:strike w:val="false"/>
                  <w:dstrike w:val="false"/>
                  <w:color w:val="C02026"/>
                  <w:sz w:val="20"/>
                  <w:u w:val="none"/>
                  <w:effect w:val="non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78">
              <w:r>
                <w:rPr>
                  <w:rStyle w:val="InternetLink"/>
                  <w:rFonts w:ascii="Arial;sans-serif" w:hAnsi="Arial;sans-serif"/>
                  <w:b w:val="false"/>
                  <w:strike w:val="false"/>
                  <w:dstrike w:val="false"/>
                  <w:color w:val="000000"/>
                  <w:sz w:val="20"/>
                  <w:u w:val="none"/>
                  <w:effect w:val="none"/>
                </w:rPr>
                <w:t>51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1">
              <w:r>
                <w:rPr>
                  <w:rStyle w:val="InternetLink"/>
                  <w:rFonts w:ascii="Arial;sans-serif" w:hAnsi="Arial;sans-serif"/>
                  <w:b/>
                  <w:i/>
                  <w:strike w:val="false"/>
                  <w:dstrike w:val="false"/>
                  <w:color w:val="C02026"/>
                  <w:sz w:val="20"/>
                  <w:u w:val="none"/>
                  <w:effect w:val="none"/>
                </w:rPr>
                <w:t>Item 4.</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1">
              <w:r>
                <w:rPr>
                  <w:rStyle w:val="InternetLink"/>
                  <w:rFonts w:ascii="Arial;sans-serif" w:hAnsi="Arial;sans-serif"/>
                  <w:b/>
                  <w:i/>
                  <w:strike w:val="false"/>
                  <w:dstrike w:val="false"/>
                  <w:color w:val="C02026"/>
                  <w:sz w:val="20"/>
                  <w:u w:val="none"/>
                  <w:effect w:val="non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81">
              <w:r>
                <w:rPr>
                  <w:rStyle w:val="InternetLink"/>
                  <w:rFonts w:ascii="Arial;sans-serif" w:hAnsi="Arial;sans-serif"/>
                  <w:b w:val="false"/>
                  <w:strike w:val="false"/>
                  <w:dstrike w:val="false"/>
                  <w:color w:val="000000"/>
                  <w:sz w:val="20"/>
                  <w:u w:val="none"/>
                  <w:effect w:val="none"/>
                </w:rPr>
                <w:t>51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4">
              <w:r>
                <w:rPr>
                  <w:rStyle w:val="InternetLink"/>
                  <w:rFonts w:ascii="Arial;sans-serif" w:hAnsi="Arial;sans-serif"/>
                  <w:b/>
                  <w:strike w:val="false"/>
                  <w:dstrike w:val="false"/>
                  <w:color w:val="000000"/>
                  <w:sz w:val="20"/>
                  <w:u w:val="none"/>
                  <w:effect w:val="none"/>
                </w:rPr>
                <w:t>PART II.</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4">
              <w:r>
                <w:rPr>
                  <w:rStyle w:val="InternetLink"/>
                  <w:rFonts w:ascii="Arial;sans-serif" w:hAnsi="Arial;sans-serif"/>
                  <w:b/>
                  <w:strike w:val="false"/>
                  <w:dstrike w:val="false"/>
                  <w:color w:val="000000"/>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7">
              <w:r>
                <w:rPr>
                  <w:rStyle w:val="InternetLink"/>
                  <w:rFonts w:ascii="Arial;sans-serif" w:hAnsi="Arial;sans-serif"/>
                  <w:b/>
                  <w:i/>
                  <w:strike w:val="false"/>
                  <w:dstrike w:val="false"/>
                  <w:color w:val="C02026"/>
                  <w:sz w:val="20"/>
                  <w:u w:val="none"/>
                  <w:effect w:val="none"/>
                </w:rPr>
                <w:t>Item 1.</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87">
              <w:r>
                <w:rPr>
                  <w:rStyle w:val="InternetLink"/>
                  <w:rFonts w:ascii="Arial;sans-serif" w:hAnsi="Arial;sans-serif"/>
                  <w:b/>
                  <w:i/>
                  <w:strike w:val="false"/>
                  <w:dstrike w:val="false"/>
                  <w:color w:val="C02026"/>
                  <w:sz w:val="20"/>
                  <w:u w:val="none"/>
                  <w:effect w:val="non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87">
              <w:r>
                <w:rPr>
                  <w:rStyle w:val="InternetLink"/>
                  <w:rFonts w:ascii="Arial;sans-serif" w:hAnsi="Arial;sans-serif"/>
                  <w:b w:val="false"/>
                  <w:strike w:val="false"/>
                  <w:dstrike w:val="false"/>
                  <w:color w:val="000000"/>
                  <w:sz w:val="20"/>
                  <w:u w:val="none"/>
                  <w:effect w:val="none"/>
                </w:rPr>
                <w:t>53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0">
              <w:r>
                <w:rPr>
                  <w:rStyle w:val="InternetLink"/>
                  <w:rFonts w:ascii="Arial;sans-serif" w:hAnsi="Arial;sans-serif"/>
                  <w:b/>
                  <w:i/>
                  <w:strike w:val="false"/>
                  <w:dstrike w:val="false"/>
                  <w:color w:val="C02026"/>
                  <w:sz w:val="20"/>
                  <w:u w:val="none"/>
                  <w:effect w:val="none"/>
                </w:rPr>
                <w:t>Item 1A.</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0">
              <w:r>
                <w:rPr>
                  <w:rStyle w:val="InternetLink"/>
                  <w:rFonts w:ascii="Arial;sans-serif" w:hAnsi="Arial;sans-serif"/>
                  <w:b/>
                  <w:i/>
                  <w:strike w:val="false"/>
                  <w:dstrike w:val="false"/>
                  <w:color w:val="C02026"/>
                  <w:sz w:val="20"/>
                  <w:u w:val="none"/>
                  <w:effect w:val="non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90">
              <w:r>
                <w:rPr>
                  <w:rStyle w:val="InternetLink"/>
                  <w:rFonts w:ascii="Arial;sans-serif" w:hAnsi="Arial;sans-serif"/>
                  <w:b w:val="false"/>
                  <w:strike w:val="false"/>
                  <w:dstrike w:val="false"/>
                  <w:color w:val="000000"/>
                  <w:sz w:val="20"/>
                  <w:u w:val="none"/>
                  <w:effect w:val="none"/>
                </w:rPr>
                <w:t>53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3">
              <w:r>
                <w:rPr>
                  <w:rStyle w:val="InternetLink"/>
                  <w:rFonts w:ascii="Arial;sans-serif" w:hAnsi="Arial;sans-serif"/>
                  <w:b/>
                  <w:i/>
                  <w:strike w:val="false"/>
                  <w:dstrike w:val="false"/>
                  <w:color w:val="C02026"/>
                  <w:sz w:val="20"/>
                  <w:u w:val="none"/>
                  <w:effect w:val="none"/>
                </w:rPr>
                <w:t>Item 2.</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3">
              <w:r>
                <w:rPr>
                  <w:rStyle w:val="InternetLink"/>
                  <w:rFonts w:ascii="Arial;sans-serif" w:hAnsi="Arial;sans-serif"/>
                  <w:b/>
                  <w:i/>
                  <w:strike w:val="false"/>
                  <w:dstrike w:val="false"/>
                  <w:color w:val="C02026"/>
                  <w:sz w:val="20"/>
                  <w:u w:val="none"/>
                  <w:effect w:val="non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93">
              <w:r>
                <w:rPr>
                  <w:rStyle w:val="InternetLink"/>
                  <w:rFonts w:ascii="Arial;sans-serif" w:hAnsi="Arial;sans-serif"/>
                  <w:b w:val="false"/>
                  <w:strike w:val="false"/>
                  <w:dstrike w:val="false"/>
                  <w:color w:val="000000"/>
                  <w:sz w:val="20"/>
                  <w:u w:val="none"/>
                  <w:effect w:val="none"/>
                </w:rPr>
                <w:t>54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6">
              <w:r>
                <w:rPr>
                  <w:rStyle w:val="InternetLink"/>
                  <w:rFonts w:ascii="Arial;sans-serif" w:hAnsi="Arial;sans-serif"/>
                  <w:b/>
                  <w:i/>
                  <w:strike w:val="false"/>
                  <w:dstrike w:val="false"/>
                  <w:color w:val="C02026"/>
                  <w:sz w:val="20"/>
                  <w:u w:val="none"/>
                  <w:effect w:val="none"/>
                </w:rPr>
                <w:t>Item 3.</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6">
              <w:r>
                <w:rPr>
                  <w:rStyle w:val="InternetLink"/>
                  <w:rFonts w:ascii="Arial;sans-serif" w:hAnsi="Arial;sans-serif"/>
                  <w:b/>
                  <w:i/>
                  <w:strike w:val="false"/>
                  <w:dstrike w:val="false"/>
                  <w:color w:val="C02026"/>
                  <w:sz w:val="20"/>
                  <w:u w:val="none"/>
                  <w:effect w:val="non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96">
              <w:r>
                <w:rPr>
                  <w:rStyle w:val="InternetLink"/>
                  <w:rFonts w:ascii="Arial;sans-serif" w:hAnsi="Arial;sans-serif"/>
                  <w:b w:val="false"/>
                  <w:strike w:val="false"/>
                  <w:dstrike w:val="false"/>
                  <w:color w:val="000000"/>
                  <w:sz w:val="20"/>
                  <w:u w:val="none"/>
                  <w:effect w:val="none"/>
                </w:rPr>
                <w:t>54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9">
              <w:r>
                <w:rPr>
                  <w:rStyle w:val="InternetLink"/>
                  <w:rFonts w:ascii="Arial;sans-serif" w:hAnsi="Arial;sans-serif"/>
                  <w:b/>
                  <w:i/>
                  <w:strike w:val="false"/>
                  <w:dstrike w:val="false"/>
                  <w:color w:val="C02026"/>
                  <w:sz w:val="20"/>
                  <w:u w:val="none"/>
                  <w:effect w:val="none"/>
                </w:rPr>
                <w:t>Item 4.</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199">
              <w:r>
                <w:rPr>
                  <w:rStyle w:val="InternetLink"/>
                  <w:rFonts w:ascii="Arial;sans-serif" w:hAnsi="Arial;sans-serif"/>
                  <w:b/>
                  <w:i/>
                  <w:strike w:val="false"/>
                  <w:dstrike w:val="false"/>
                  <w:color w:val="C02026"/>
                  <w:sz w:val="20"/>
                  <w:u w:val="none"/>
                  <w:effect w:val="non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199">
              <w:r>
                <w:rPr>
                  <w:rStyle w:val="InternetLink"/>
                  <w:rFonts w:ascii="Arial;sans-serif" w:hAnsi="Arial;sans-serif"/>
                  <w:b w:val="false"/>
                  <w:strike w:val="false"/>
                  <w:dstrike w:val="false"/>
                  <w:color w:val="000000"/>
                  <w:sz w:val="20"/>
                  <w:u w:val="none"/>
                  <w:effect w:val="none"/>
                </w:rPr>
                <w:t>54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202">
              <w:r>
                <w:rPr>
                  <w:rStyle w:val="InternetLink"/>
                  <w:rFonts w:ascii="Arial;sans-serif" w:hAnsi="Arial;sans-serif"/>
                  <w:b/>
                  <w:i/>
                  <w:strike w:val="false"/>
                  <w:dstrike w:val="false"/>
                  <w:color w:val="C02026"/>
                  <w:sz w:val="20"/>
                  <w:u w:val="none"/>
                  <w:effect w:val="none"/>
                </w:rPr>
                <w:t>Item 5.</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202">
              <w:r>
                <w:rPr>
                  <w:rStyle w:val="InternetLink"/>
                  <w:rFonts w:ascii="Arial;sans-serif" w:hAnsi="Arial;sans-serif"/>
                  <w:b/>
                  <w:i/>
                  <w:strike w:val="false"/>
                  <w:dstrike w:val="false"/>
                  <w:color w:val="C02026"/>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02">
              <w:r>
                <w:rPr>
                  <w:rStyle w:val="InternetLink"/>
                  <w:rFonts w:ascii="Arial;sans-serif" w:hAnsi="Arial;sans-serif"/>
                  <w:b w:val="false"/>
                  <w:strike w:val="false"/>
                  <w:dstrike w:val="false"/>
                  <w:color w:val="000000"/>
                  <w:sz w:val="20"/>
                  <w:u w:val="none"/>
                  <w:effect w:val="none"/>
                </w:rPr>
                <w:t>54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205">
              <w:r>
                <w:rPr>
                  <w:rStyle w:val="InternetLink"/>
                  <w:rFonts w:ascii="Arial;sans-serif" w:hAnsi="Arial;sans-serif"/>
                  <w:b/>
                  <w:i/>
                  <w:strike w:val="false"/>
                  <w:dstrike w:val="false"/>
                  <w:color w:val="C02026"/>
                  <w:sz w:val="20"/>
                  <w:u w:val="none"/>
                  <w:effect w:val="none"/>
                </w:rPr>
                <w:t>Item 6.</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205">
              <w:r>
                <w:rPr>
                  <w:rStyle w:val="InternetLink"/>
                  <w:rFonts w:ascii="Arial;sans-serif" w:hAnsi="Arial;sans-serif"/>
                  <w:b/>
                  <w:i/>
                  <w:strike w:val="false"/>
                  <w:dstrike w:val="false"/>
                  <w:color w:val="C02026"/>
                  <w:sz w:val="20"/>
                  <w:u w:val="none"/>
                  <w:effect w:val="none"/>
                </w:rPr>
                <w:t>Exhibits</w:t>
              </w:r>
            </w:hyperlink>
            <w:r>
              <w:rPr>
                <w:rFonts w:ascii="Arial;sans-serif" w:hAnsi="Arial;sans-serif"/>
                <w:b/>
                <w:i/>
                <w:color w:val="C02026"/>
                <w:sz w:val="20"/>
              </w:rPr>
              <w:t xml:space="preserve"> </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05">
              <w:r>
                <w:rPr>
                  <w:rStyle w:val="InternetLink"/>
                  <w:rFonts w:ascii="Arial;sans-serif" w:hAnsi="Arial;sans-serif"/>
                  <w:b w:val="false"/>
                  <w:strike w:val="false"/>
                  <w:dstrike w:val="false"/>
                  <w:color w:val="000000"/>
                  <w:sz w:val="20"/>
                  <w:u w:val="none"/>
                  <w:effect w:val="none"/>
                </w:rPr>
                <w:t>55</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a70f8f40b8c49a8b80536f6955ee71b_208">
              <w:r>
                <w:rPr>
                  <w:rStyle w:val="InternetLink"/>
                  <w:rFonts w:ascii="Arial;sans-serif" w:hAnsi="Arial;sans-serif"/>
                  <w:b/>
                  <w:i/>
                  <w:strike w:val="false"/>
                  <w:dstrike w:val="false"/>
                  <w:color w:val="000000"/>
                  <w:sz w:val="20"/>
                  <w:u w:val="none"/>
                  <w:effect w:val="non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a70f8f40b8c49a8b80536f6955ee71b_208">
              <w:r>
                <w:rPr>
                  <w:rStyle w:val="InternetLink"/>
                  <w:rFonts w:ascii="Arial;sans-serif" w:hAnsi="Arial;sans-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Arial;sans-serif" w:hAnsi="Arial;sans-serif"/>
          <w:b/>
          <w:color w:val="C02026"/>
          <w:sz w:val="20"/>
        </w:rPr>
      </w:pPr>
      <w:r>
        <w:rPr>
          <w:rFonts w:ascii="Arial;sans-serif" w:hAnsi="Arial;sans-serif"/>
          <w:b/>
          <w:color w:val="C02026"/>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20"/>
        <w:gridCol w:w="2203"/>
        <w:gridCol w:w="2214"/>
        <w:gridCol w:w="109"/>
        <w:gridCol w:w="109"/>
        <w:gridCol w:w="109"/>
        <w:gridCol w:w="196"/>
        <w:gridCol w:w="751"/>
        <w:gridCol w:w="109"/>
        <w:gridCol w:w="109"/>
        <w:gridCol w:w="109"/>
        <w:gridCol w:w="109"/>
        <w:gridCol w:w="205"/>
        <w:gridCol w:w="789"/>
        <w:gridCol w:w="164"/>
      </w:tblGrid>
      <w:tr>
        <w:trPr/>
        <w:tc>
          <w:tcPr>
            <w:tcW w:w="292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14,216 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$338 and $375,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25,891 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79,895 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78,638 </w:t>
            </w:r>
          </w:p>
        </w:tc>
        <w:tc>
          <w:tcPr>
            <w:tcW w:w="16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$10,577 and $10,083,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4,778 </w:t>
            </w:r>
          </w:p>
        </w:tc>
        <w:tc>
          <w:tcPr>
            <w:tcW w:w="1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149,105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6,062 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Domestic and foreign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32,127 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35,755 </w:t>
            </w:r>
          </w:p>
        </w:tc>
        <w:tc>
          <w:tcPr>
            <w:tcW w:w="1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6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41,408</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47,690</w:t>
            </w:r>
            <w:r>
              <w:rPr>
                <w:color w:val="000000"/>
              </w:rPr>
              <w:t> </w:t>
            </w:r>
          </w:p>
        </w:tc>
        <w:tc>
          <w:tcPr>
            <w:tcW w:w="1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 shares authorized; 12,912,071 and 12,570,865 shares issued, respectively; 12,825,786 and 12,488,788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59,436 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42,560 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86,285 and 82,077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107,697</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6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149,105</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6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- 1 -</w:t>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9870" w:type="dxa"/>
        <w:jc w:val="center"/>
        <w:tblInd w:w="0" w:type="dxa"/>
        <w:tblLayout w:type="fixed"/>
        <w:tblCellMar>
          <w:top w:w="28" w:type="dxa"/>
          <w:left w:w="28" w:type="dxa"/>
          <w:bottom w:w="28" w:type="dxa"/>
          <w:right w:w="28" w:type="dxa"/>
        </w:tblCellMar>
      </w:tblPr>
      <w:tblGrid>
        <w:gridCol w:w="1653"/>
        <w:gridCol w:w="1451"/>
        <w:gridCol w:w="145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(loss) before 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12,314,633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12,284,334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12,582,221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9312" w:type="dxa"/>
        <w:jc w:val="center"/>
        <w:tblInd w:w="0" w:type="dxa"/>
        <w:tblLayout w:type="fixed"/>
        <w:tblCellMar>
          <w:top w:w="28" w:type="dxa"/>
          <w:left w:w="28" w:type="dxa"/>
          <w:bottom w:w="28" w:type="dxa"/>
          <w:right w:w="28" w:type="dxa"/>
        </w:tblCellMar>
      </w:tblPr>
      <w:tblGrid>
        <w:gridCol w:w="1556"/>
        <w:gridCol w:w="1372"/>
        <w:gridCol w:w="1377"/>
        <w:gridCol w:w="109"/>
        <w:gridCol w:w="109"/>
        <w:gridCol w:w="109"/>
        <w:gridCol w:w="211"/>
        <w:gridCol w:w="481"/>
        <w:gridCol w:w="109"/>
        <w:gridCol w:w="109"/>
        <w:gridCol w:w="109"/>
        <w:gridCol w:w="109"/>
        <w:gridCol w:w="211"/>
        <w:gridCol w:w="646"/>
        <w:gridCol w:w="109"/>
        <w:gridCol w:w="109"/>
        <w:gridCol w:w="109"/>
        <w:gridCol w:w="109"/>
        <w:gridCol w:w="211"/>
        <w:gridCol w:w="541"/>
        <w:gridCol w:w="109"/>
        <w:gridCol w:w="109"/>
        <w:gridCol w:w="109"/>
        <w:gridCol w:w="109"/>
        <w:gridCol w:w="211"/>
        <w:gridCol w:w="706"/>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2117" w:type="dxa"/>
        <w:jc w:val="left"/>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221"/>
        <w:gridCol w:w="849"/>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2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12,570,865</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59,436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42,560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2,461</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100,528 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(120,913)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withheld to satisfy tax liability at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12,633,051</w:t>
            </w:r>
            <w:r>
              <w:rPr>
                <w:color w:val="000000"/>
              </w:rPr>
              <w:t>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84,759</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60,268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1,722</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103,863</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264,756 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12,912,071</w:t>
            </w:r>
            <w:r>
              <w:rPr>
                <w:color w:val="000000"/>
              </w:rPr>
              <w:t> </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86,285</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64,028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43,217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1,345</w:t>
            </w:r>
            <w:r>
              <w:rPr>
                <w:color w:val="000000"/>
              </w:rPr>
              <w:t>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107,697</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(Continued)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240"/>
        <w:jc w:val="center"/>
        <w:rPr/>
      </w:pPr>
      <w:r>
        <w:rPr/>
      </w:r>
    </w:p>
    <w:tbl>
      <w:tblPr>
        <w:tblW w:w="11992" w:type="dxa"/>
        <w:jc w:val="center"/>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221"/>
        <w:gridCol w:w="849"/>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2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(27,365)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12,574,788</w:t>
            </w:r>
            <w:r>
              <w:rPr>
                <w:color w:val="000000"/>
              </w:rPr>
              <w:t>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80,028</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58,134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(675)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12,559,753</w:t>
            </w:r>
            <w:r>
              <w:rPr>
                <w:color w:val="000000"/>
              </w:rPr>
              <w:t> </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58,604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42,255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2,567</w:t>
            </w:r>
            <w:r>
              <w:rPr>
                <w:color w:val="000000"/>
              </w:rPr>
              <w:t>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102,592</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v:textbox>
                <w10:wrap type="none"/>
              </v:rect>
            </w:pict>
          </mc:Fallback>
        </mc:AlternateContent>
      </w:r>
    </w:p>
    <w:p>
      <w:pPr>
        <w:pStyle w:val="TextBody"/>
        <w:bidi w:val="0"/>
        <w:spacing w:lineRule="auto" w:line="288" w:before="0" w:after="24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(Unaudited)</w:t>
      </w:r>
    </w:p>
    <w:tbl>
      <w:tblPr>
        <w:tblW w:w="7779" w:type="dxa"/>
        <w:jc w:val="center"/>
        <w:tblInd w:w="0" w:type="dxa"/>
        <w:tblLayout w:type="fixed"/>
        <w:tblCellMar>
          <w:top w:w="28" w:type="dxa"/>
          <w:left w:w="28" w:type="dxa"/>
          <w:bottom w:w="28" w:type="dxa"/>
          <w:right w:w="28" w:type="dxa"/>
        </w:tblCellMar>
      </w:tblPr>
      <w:tblGrid>
        <w:gridCol w:w="2047"/>
        <w:gridCol w:w="1801"/>
        <w:gridCol w:w="1807"/>
        <w:gridCol w:w="181"/>
        <w:gridCol w:w="586"/>
        <w:gridCol w:w="109"/>
        <w:gridCol w:w="109"/>
        <w:gridCol w:w="109"/>
        <w:gridCol w:w="109"/>
        <w:gridCol w:w="181"/>
        <w:gridCol w:w="586"/>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4"/>
              </w:rPr>
            </w:pPr>
            <w:r>
              <w:rPr>
                <w:rFonts w:ascii="Arial;sans-serif" w:hAnsi="Arial;sans-serif"/>
                <w:b/>
                <w:i/>
                <w:color w:val="000000"/>
                <w:sz w:val="14"/>
              </w:rPr>
              <w:t>(In thousands)</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earnings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earnings (loss) to net cash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3,004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4,847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(1,049)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(691)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 net of repayments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(5,602)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(used in) all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22,102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19,248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(receipts) payments for: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net of receipts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The consolidated entity is comprised of InTest Corporation and our wholly-owned subsidiaries which comprise our six business: Electro Mechanical Semiconductor (“</w:t>
      </w:r>
      <w:r>
        <w:rPr>
          <w:rFonts w:ascii="Arial;sans-serif" w:hAnsi="Arial;sans-serif"/>
          <w:b/>
          <w:color w:val="000000"/>
          <w:sz w:val="20"/>
          <w:u w:val="single"/>
        </w:rPr>
        <w:t>EMS</w:t>
      </w:r>
      <w:r>
        <w:rPr>
          <w:color w:val="000000"/>
        </w:rPr>
        <w:t>”</w:t>
      </w:r>
      <w:r>
        <w:rPr>
          <w:rFonts w:ascii="Arial;sans-serif" w:hAnsi="Arial;sans-serif"/>
          <w:b w:val="false"/>
          <w:color w:val="000000"/>
          <w:sz w:val="20"/>
        </w:rPr>
        <w:t>), Acculogic, Alfamation</w:t>
      </w:r>
      <w:r>
        <w:rPr>
          <w:color w:val="000000"/>
        </w:rPr>
        <w:t>™</w:t>
      </w:r>
      <w:r>
        <w:rPr>
          <w:rFonts w:ascii="Arial;sans-serif" w:hAnsi="Arial;sans-serif"/>
          <w:b w:val="false"/>
          <w:color w:val="000000"/>
          <w:sz w:val="20"/>
        </w:rPr>
        <w:t>, InTest Thermal Solutions (“</w:t>
      </w:r>
      <w:r>
        <w:rPr>
          <w:rFonts w:ascii="Arial;sans-serif" w:hAnsi="Arial;sans-serif"/>
          <w:b/>
          <w:color w:val="000000"/>
          <w:sz w:val="20"/>
          <w:u w:val="single"/>
        </w:rPr>
        <w:t>ITS</w:t>
      </w:r>
      <w:r>
        <w:rPr>
          <w:color w:val="000000"/>
        </w:rPr>
        <w:t>”</w:t>
      </w:r>
      <w:r>
        <w:rPr>
          <w:rFonts w:ascii="Arial;sans-serif" w:hAnsi="Arial;sans-serif"/>
          <w:b w:val="false"/>
          <w:color w:val="000000"/>
          <w:sz w:val="20"/>
        </w:rPr>
        <w:t>),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We manufacture our products in the U.S., Canada, Italy and Malaysia. Marketing and support activities are conducted worldwide from our facilities in the U.S., Canada, Italy, Germany, Singapore, Malaysia and the U.K. As of December 31, 2025, we have consolidated our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Netherlands operations into our U.S. Videology</w:t>
      </w:r>
      <w:r>
        <w:rPr>
          <w:rFonts w:ascii="Arial;sans-serif" w:hAnsi="Arial;sans-serif"/>
          <w:b w:val="false"/>
          <w:color w:val="000000"/>
          <w:sz w:val="13"/>
        </w:rPr>
        <w:t xml:space="preserve">® </w:t>
      </w:r>
      <w:r>
        <w:rPr>
          <w:rFonts w:ascii="Arial;sans-serif" w:hAnsi="Arial;sans-serif"/>
          <w:b w:val="false"/>
          <w:color w:val="000000"/>
          <w:sz w:val="20"/>
        </w:rPr>
        <w:t>location. See “</w:t>
      </w:r>
      <w:r>
        <w:rPr>
          <w:rFonts w:ascii="Arial;sans-serif" w:hAnsi="Arial;sans-serif"/>
          <w:b/>
          <w:color w:val="000000"/>
          <w:sz w:val="20"/>
        </w:rPr>
        <w:t>Note (15) Restructuring</w:t>
      </w:r>
      <w:r>
        <w:rPr>
          <w:color w:val="000000"/>
        </w:rPr>
        <w:t xml:space="preserve">” </w:t>
      </w:r>
      <w:r>
        <w:rPr>
          <w:rFonts w:ascii="Arial;sans-serif" w:hAnsi="Arial;sans-serif"/>
          <w:b w:val="false"/>
          <w:color w:val="000000"/>
          <w:sz w:val="20"/>
        </w:rPr>
        <w:t>for further discussion about this action.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stock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 market, which includes both the broader semiconductor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Our Electronic Test segment began with EMS and sells its products to semiconductor manufacturers and third-party test and assembly houses (end user sales) and to ATE manufacturers (original equipment manufacturers (“</w:t>
      </w:r>
      <w:r>
        <w:rPr>
          <w:rFonts w:ascii="Arial;sans-serif" w:hAnsi="Arial;sans-serif"/>
          <w:b/>
          <w:color w:val="000000"/>
          <w:sz w:val="20"/>
          <w:u w:val="single"/>
        </w:rPr>
        <w:t>OEM</w:t>
      </w:r>
      <w:r>
        <w:rPr>
          <w:color w:val="000000"/>
        </w:rPr>
        <w:t>”</w:t>
      </w:r>
      <w:r>
        <w:rPr>
          <w:rFonts w:ascii="Arial;sans-serif" w:hAnsi="Arial;sans-serif"/>
          <w:b w:val="false"/>
          <w:color w:val="000000"/>
          <w:sz w:val="20"/>
        </w:rPr>
        <w:t>)), who ultimately resell our equipment with their equipment to both semiconductor manufacturers and third-party test and assembly houses. These sales all fall within the ATE sector of the Semi market. With the acquisition of Acculogic Inc. and its affiliates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in December 2021, and the March 2024 acquisition of Alfamation S.p.A. (“</w:t>
      </w:r>
      <w:r>
        <w:rPr>
          <w:rFonts w:ascii="Arial;sans-serif" w:hAnsi="Arial;sans-serif"/>
          <w:b/>
          <w:color w:val="000000"/>
          <w:sz w:val="20"/>
          <w:u w:val="single"/>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which consists of ITS, sells its products to end users and OEMs within the ATE sector of the Semi market. It also sells its products to customers in a variety of markets other than the Semi market, including the Auto/EV, Defense/Aerospace, Industrial and Life Sciences markets. Our Process Technologies segment consists of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sells its products to customers in the wafer production sector within the Semi market. It also sells its products to customers in a variety of markets other than the Semi market, including the Auto/EV, Defense/Aerospace, Industrial, Life Sciences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pStyle w:val="TextBody"/>
        <w:bidi w:val="0"/>
        <w:spacing w:lineRule="auto" w:line="288" w:before="0" w:after="200"/>
        <w:jc w:val="left"/>
        <w:rPr/>
      </w:pPr>
      <w:r>
        <w:rPr>
          <w:rFonts w:ascii="Arial;sans-serif" w:hAnsi="Arial;sans-serif"/>
          <w:b w:val="false"/>
          <w:color w:val="000000"/>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2025 (the “</w:t>
      </w:r>
      <w:r>
        <w:rPr>
          <w:rFonts w:ascii="Arial;sans-serif" w:hAnsi="Arial;sans-serif"/>
          <w:b/>
          <w:color w:val="000000"/>
          <w:sz w:val="20"/>
          <w:u w:val="single"/>
        </w:rPr>
        <w:t>2025 Form 10-K</w:t>
      </w:r>
      <w:r>
        <w:rPr>
          <w:color w:val="000000"/>
        </w:rPr>
        <w:t>”</w:t>
      </w:r>
      <w:r>
        <w:rPr>
          <w:rFonts w:ascii="Arial;sans-serif" w:hAnsi="Arial;sans-serif"/>
          <w:b w:val="false"/>
          <w:color w:val="000000"/>
          <w:sz w:val="20"/>
        </w:rPr>
        <w:t>) filed on March 12, 2026, with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Revision of Previously Issued Interim Financial Statements</w:t>
      </w:r>
    </w:p>
    <w:p>
      <w:pPr>
        <w:pStyle w:val="TextBody"/>
        <w:bidi w:val="0"/>
        <w:spacing w:lineRule="auto" w:line="288" w:before="0" w:after="200"/>
        <w:jc w:val="left"/>
        <w:rPr/>
      </w:pPr>
      <w:r>
        <w:rPr>
          <w:rFonts w:ascii="Arial;sans-serif" w:hAnsi="Arial;sans-serif"/>
          <w:b w:val="false"/>
          <w:color w:val="000000"/>
          <w:sz w:val="20"/>
        </w:rPr>
        <w:t>In preparing the Consolidated Financial Statements as of and for the three and six months ending June 30, 2026, we identified errors in our previously issued unaudited Consolidated Financial Statements as of and for the three months ended March 31, 2026 (“</w:t>
      </w:r>
      <w:r>
        <w:rPr>
          <w:rFonts w:ascii="Arial;sans-serif" w:hAnsi="Arial;sans-serif"/>
          <w:b/>
          <w:color w:val="000000"/>
          <w:sz w:val="20"/>
          <w:u w:val="single"/>
        </w:rPr>
        <w:t>our previously issued interim financial statements</w:t>
      </w:r>
      <w:r>
        <w:rPr>
          <w:color w:val="000000"/>
        </w:rPr>
        <w:t>”</w:t>
      </w:r>
      <w:r>
        <w:rPr>
          <w:rFonts w:ascii="Arial;sans-serif" w:hAnsi="Arial;sans-serif"/>
          <w:b w:val="false"/>
          <w:color w:val="000000"/>
          <w:sz w:val="20"/>
        </w:rPr>
        <w:t>), related to the overstatement of ending inventory and understatement of cost of revenue at Alfamation</w:t>
      </w:r>
      <w:r>
        <w:rPr>
          <w:color w:val="000000"/>
        </w:rPr>
        <w:t>™</w:t>
      </w:r>
      <w:r>
        <w:rPr>
          <w:rFonts w:ascii="Arial;sans-serif" w:hAnsi="Arial;sans-serif"/>
          <w:b w:val="false"/>
          <w:color w:val="000000"/>
          <w:sz w:val="20"/>
        </w:rPr>
        <w:t>, along with resultant changes to consolidated gross profit, income tax expense, net income, comprehensive earnings, retained earnings and earnings per share. The errors occurred in connection with the implementation a new ERP system at Alfamation™ that went live early in the first quarter of 2026.</w:t>
      </w:r>
    </w:p>
    <w:p>
      <w:pPr>
        <w:pStyle w:val="TextBody"/>
        <w:bidi w:val="0"/>
        <w:spacing w:lineRule="auto" w:line="268" w:before="0" w:after="0"/>
        <w:jc w:val="left"/>
        <w:rPr/>
      </w:pPr>
      <w:r>
        <w:rPr>
          <w:rFonts w:ascii="Arial;sans-serif" w:hAnsi="Arial;sans-serif"/>
          <w:b w:val="false"/>
          <w:color w:val="000000"/>
          <w:sz w:val="20"/>
        </w:rPr>
        <w:t>We evaluated the errors in accordance with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250 - </w:t>
      </w:r>
      <w:r>
        <w:rPr>
          <w:rFonts w:ascii="Arial;sans-serif" w:hAnsi="Arial;sans-serif"/>
          <w:b w:val="false"/>
          <w:i/>
          <w:color w:val="000000"/>
          <w:sz w:val="20"/>
        </w:rPr>
        <w:t>Accounting Changes and Error Corrections</w:t>
      </w:r>
      <w:r>
        <w:rPr>
          <w:color w:val="000000"/>
        </w:rPr>
        <w:t xml:space="preserve"> </w:t>
      </w:r>
      <w:r>
        <w:rPr>
          <w:rFonts w:ascii="Arial;sans-serif" w:hAnsi="Arial;sans-serif"/>
          <w:b w:val="false"/>
          <w:color w:val="000000"/>
          <w:sz w:val="20"/>
        </w:rPr>
        <w:t xml:space="preserve">and SEC Staff Accounting Bulletin Nos. 99 - </w:t>
      </w:r>
      <w:r>
        <w:rPr>
          <w:rFonts w:ascii="Arial;sans-serif" w:hAnsi="Arial;sans-serif"/>
          <w:b w:val="false"/>
          <w:i/>
          <w:color w:val="000000"/>
          <w:sz w:val="20"/>
        </w:rPr>
        <w:t>Materiality</w:t>
      </w:r>
      <w:r>
        <w:rPr>
          <w:color w:val="000000"/>
        </w:rPr>
        <w:t xml:space="preserve"> </w:t>
      </w:r>
      <w:r>
        <w:rPr>
          <w:rFonts w:ascii="Arial;sans-serif" w:hAnsi="Arial;sans-serif"/>
          <w:b w:val="false"/>
          <w:color w:val="000000"/>
          <w:sz w:val="20"/>
        </w:rPr>
        <w:t>and determined that the related impacts were not material in our previously issued interim financial statements. However, correcting the cumulative effect of the error in the current period would be material to the current-period results. Therefore, we revised our previously issued interim financial statements to correct the errors. A summary of the revisions to our previously issued interim financial statements is included in “</w:t>
      </w:r>
      <w:r>
        <w:rPr>
          <w:rFonts w:ascii="Arial;sans-serif" w:hAnsi="Arial;sans-serif"/>
          <w:b/>
          <w:color w:val="000000"/>
          <w:sz w:val="20"/>
        </w:rPr>
        <w:t>Note (18) Revision of Previously Issued Interim Financial Statements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with respect to aggregating the net earnings (loss) and other comprehensive earnings (loss) lines into comprehensive earnings (loss) on the face of the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(d) Reportable Segments</w:t>
      </w:r>
    </w:p>
    <w:p>
      <w:pPr>
        <w:pStyle w:val="TextBody"/>
        <w:bidi w:val="0"/>
        <w:spacing w:lineRule="auto" w:line="288" w:before="0" w:after="200"/>
        <w:jc w:val="left"/>
        <w:rPr/>
      </w:pPr>
      <w:r>
        <w:rPr>
          <w:rFonts w:ascii="Arial;sans-serif" w:hAnsi="Arial;sans-serif"/>
          <w:b w:val="false"/>
          <w:color w:val="000000"/>
          <w:sz w:val="20"/>
        </w:rPr>
        <w:t>We have three operating segments which are also our reportable segments and reporting units: Electronic Test (consisting of EMS, Acculogic and Alfamation</w:t>
      </w:r>
      <w:r>
        <w:rPr>
          <w:color w:val="000000"/>
        </w:rPr>
        <w:t>™</w:t>
      </w:r>
      <w:r>
        <w:rPr>
          <w:rFonts w:ascii="Arial;sans-serif" w:hAnsi="Arial;sans-serif"/>
          <w:b w:val="false"/>
          <w:color w:val="000000"/>
          <w:sz w:val="20"/>
        </w:rPr>
        <w:t>, whose products include our semiconductor test equipment, flying probe and in-circuit and functional testers), Environmental Technologies (consisting of ITS, whose products include our thermal test, process and storage products) and Process Technologies (consisting of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whose products include our induction heating and video imaging products). We operate our business worldwide and sell our products both domestically and internationally. All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Our management team, including our Chief Executive Officer (“</w:t>
      </w:r>
      <w:r>
        <w:rPr>
          <w:rFonts w:ascii="Arial;sans-serif" w:hAnsi="Arial;sans-serif"/>
          <w:b/>
          <w:color w:val="000000"/>
          <w:sz w:val="20"/>
          <w:u w:val="single"/>
        </w:rPr>
        <w:t>CEO</w:t>
      </w:r>
      <w:r>
        <w:rPr>
          <w:color w:val="000000"/>
        </w:rPr>
        <w:t>”</w:t>
      </w:r>
      <w:r>
        <w:rPr>
          <w:rFonts w:ascii="Arial;sans-serif" w:hAnsi="Arial;sans-serif"/>
          <w:b w:val="false"/>
          <w:color w:val="000000"/>
          <w:sz w:val="20"/>
        </w:rPr>
        <w:t>) who is also our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as defined under U.S. GAAP, evaluates the performance of our operating segments primarily on income (loss) from divisional operations which represents earnings (loss) before income tax expense (benefit) and excludes interest expense, other income (expense), corporate expenses, restructuring costs and acquired intangible amortization. Other divisional costs represent engineering and product development costs, selling expenses, and general and administrative expenses directly attributable to the division.</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Semi market. With the December 2021 acquisition of Acculogic and the March 2024 acquisition of 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markets other than the Semi market, including the Auto/EV, Defense/Aerospace, Industrial and Life Sciences markets. Our Process Technologies segment sells its products to customers in the wafer production sector within the Semi market. It also sells its products to customers in a variety of markets other than the Semi market, including the Auto/EV, Defense/Aerospace, Industrial, Life Sciences and Safety/Security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(e)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 Cash, Cash Equivalents and Restricted Cash</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As a condition of our Sixth Amendment to the Loan Agreement executed on August 5, 2025, as further described in “</w:t>
      </w:r>
      <w:r>
        <w:rPr>
          <w:rFonts w:ascii="Arial;sans-serif" w:hAnsi="Arial;sans-serif"/>
          <w:b/>
          <w:color w:val="000000"/>
          <w:sz w:val="20"/>
        </w:rPr>
        <w:t>Note (9) Debt</w:t>
      </w:r>
      <w:r>
        <w:rPr>
          <w:rFonts w:ascii="Arial;sans-serif" w:hAnsi="Arial;sans-serif"/>
          <w:b w:val="false"/>
          <w:color w:val="000000"/>
          <w:sz w:val="20"/>
        </w:rPr>
        <w:t>,” we had formally pledged cash holdings equal to our outstanding debt with M&amp;T Bank, which we presented as restricted cash on the face of our Consolidated Balance Sheet. As of June 30, 2026 that restriction has lapsed.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 xml:space="preserve">Trade accounts receivable are recorded at the invoiced amount and do not bear interest. We grant credit to customers and generally require no collateral. To minimize our risk, we perform ongoing credit evaluations of our customers’ financial condition. We follow the guidance in ASC Topic 326 - </w:t>
      </w:r>
      <w:r>
        <w:rPr>
          <w:rFonts w:ascii="Arial;sans-serif" w:hAnsi="Arial;sans-serif"/>
          <w:b w:val="false"/>
          <w:i/>
          <w:color w:val="000000"/>
          <w:sz w:val="20"/>
        </w:rPr>
        <w:t>Financial Instruments – 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xml:space="preserve">)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to the allowance for credit losses are included as a component of general and administrative expenses. 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(h)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are generally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24 to 36 months depending on the product line.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(i) Property and Equipment</w:t>
      </w:r>
    </w:p>
    <w:p>
      <w:pPr>
        <w:pStyle w:val="TextBody"/>
        <w:bidi w:val="0"/>
        <w:spacing w:lineRule="auto" w:line="288" w:before="0" w:after="200"/>
        <w:jc w:val="left"/>
        <w:rPr/>
      </w:pPr>
      <w:r>
        <w:rPr>
          <w:rFonts w:ascii="Arial;sans-serif" w:hAnsi="Arial;sans-serif"/>
          <w:b w:val="false"/>
          <w:color w:val="000000"/>
          <w:sz w:val="20"/>
        </w:rPr>
        <w:t>Our property and equipment caption includes machinery, equipment and leasehold improvements which are stated at cost, except for machinery and equipment acquired in a business combination, which are stated at fair value at the time of acquisition. As disclosed in “</w:t>
      </w:r>
      <w:r>
        <w:rPr>
          <w:rFonts w:ascii="Arial;sans-serif" w:hAnsi="Arial;sans-serif"/>
          <w:b/>
          <w:color w:val="000000"/>
          <w:sz w:val="20"/>
        </w:rPr>
        <w:t>(j) Goodwill, Intangible and Long-Lived Assets</w:t>
      </w:r>
      <w:r>
        <w:rPr>
          <w:rFonts w:ascii="Arial;sans-serif" w:hAnsi="Arial;sans-serif"/>
          <w:b w:val="false"/>
          <w:color w:val="000000"/>
          <w:sz w:val="20"/>
        </w:rPr>
        <w:t>,”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(j)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xml:space="preserve">) assets, are assessed for impairment in accordance with ASC Topic 360 -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360</w:t>
      </w:r>
      <w:r>
        <w:rPr>
          <w:color w:val="000000"/>
        </w:rPr>
        <w:t>”</w:t>
      </w:r>
      <w:r>
        <w:rPr>
          <w:rFonts w:ascii="Arial;sans-serif" w:hAnsi="Arial;sans-serif"/>
          <w:b w:val="false"/>
          <w:color w:val="000000"/>
          <w:sz w:val="20"/>
        </w:rPr>
        <w: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(k) Fair Value of Financial Instruments</w:t>
      </w:r>
    </w:p>
    <w:p>
      <w:pPr>
        <w:pStyle w:val="TextBody"/>
        <w:bidi w:val="0"/>
        <w:spacing w:lineRule="auto" w:line="288" w:before="0" w:after="200"/>
        <w:jc w:val="left"/>
        <w:rPr/>
      </w:pPr>
      <w:r>
        <w:rPr>
          <w:rFonts w:ascii="Arial;sans-serif" w:hAnsi="Arial;sans-serif"/>
          <w:b w:val="false"/>
          <w:color w:val="000000"/>
          <w:sz w:val="20"/>
        </w:rPr>
        <w:t>ASC Topic 820 -</w:t>
      </w:r>
      <w:r>
        <w:rPr>
          <w:color w:val="000000"/>
        </w:rPr>
        <w:t xml:space="preserve">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cash equivalents, restricted cash, accounts receivable, accounts payable, accrued expenses, our credit facility, interest rate swaps and our liabilities for contingent consideration. Our cash and cash equivalents, restricted cash,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(9) Debt</w:t>
      </w:r>
      <w:r>
        <w:rPr>
          <w:rFonts w:ascii="Arial;sans-serif" w:hAnsi="Arial;sans-serif"/>
          <w:b w:val="false"/>
          <w:color w:val="000000"/>
          <w:sz w:val="20"/>
        </w:rPr>
        <w:t xml:space="preserve">.”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the amount of the estimated fair value of the contingent consideration since the acquisition date are recorded as general and administrative expenses in our Consolidated Statement of Operations in the quarter in which they occur. The current portion of our contingent consideration liability is included as a component of accrued expenses and other current liabilities, while the non-current portion is included in other liabilities on our Consolidated Balance Sheets. See “</w:t>
      </w:r>
      <w:r>
        <w:rPr>
          <w:rFonts w:ascii="Arial;sans-serif" w:hAnsi="Arial;sans-serif"/>
          <w:b/>
          <w:color w:val="000000"/>
          <w:sz w:val="20"/>
        </w:rPr>
        <w:t>Note (6)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(l)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w:t>
      </w:r>
      <w:r>
        <w:rPr>
          <w:rFonts w:ascii="Arial;sans-serif" w:hAnsi="Arial;sans-serif"/>
          <w:b w:val="false"/>
          <w:color w:val="000000"/>
          <w:sz w:val="13"/>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both grant agreements.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Consolidated Balance Sheets and totaled $0.2 million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(m) Leases</w:t>
      </w:r>
    </w:p>
    <w:p>
      <w:pPr>
        <w:pStyle w:val="TextBody"/>
        <w:bidi w:val="0"/>
        <w:spacing w:lineRule="auto" w:line="288" w:before="0" w:after="200"/>
        <w:jc w:val="left"/>
        <w:rPr/>
      </w:pPr>
      <w:r>
        <w:rPr>
          <w:rFonts w:ascii="Arial;sans-serif" w:hAnsi="Arial;sans-serif"/>
          <w:b w:val="false"/>
          <w:color w:val="000000"/>
          <w:sz w:val="20"/>
        </w:rPr>
        <w:t xml:space="preserve">We account for leases in accordance with ASC Topic 842 -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Though we currently do not have any financing leases, our policy is to include finance leases in property and equipment and financing lease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(8)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(n)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(6) Fair Value Measurements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rPr>
        <w:t>Note (9)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Consolidated Balance Sheets. Changes in the fair value of interest rate swap agreements designated as cash flow hedges are recorded as a component of accumulated other comprehensive income (loss) within stockholders’ equity and are amortized to interest expense over the term of the related debt. We recognize the change in the fair value of the interest rate swap as a component of the change in other assets in our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(o)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Auto/EV, Defense/Aerospace, Industrial, Life Sciences,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val="false"/>
          <w:color w:val="000000"/>
          <w:sz w:val="13"/>
        </w:rPr>
        <w:t>®</w:t>
      </w:r>
      <w:r>
        <w:rPr>
          <w:color w:val="000000"/>
        </w:rPr>
        <w:t>’</w:t>
      </w:r>
      <w:r>
        <w:rPr>
          <w:rFonts w:ascii="Arial;sans-serif" w:hAnsi="Arial;sans-serif"/>
          <w:b w:val="false"/>
          <w:color w:val="000000"/>
          <w:sz w:val="20"/>
        </w:rPr>
        <w:t>s precision induction heating systems, including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we sell industrial-grade circuit board mounted video digital cameras and related devices, systems and software. We also sell many of our products to various other markets including the Industrial, Auto/EV, Life Sciences, Defense/Aerospace and Safety/Security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(10) Revenue From Contracts With Customers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(17) Segment and Geographic Area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(p) Earnings (Loss) Per Common Share</w:t>
      </w:r>
    </w:p>
    <w:p>
      <w:pPr>
        <w:pStyle w:val="TextBody"/>
        <w:bidi w:val="0"/>
        <w:spacing w:lineRule="auto" w:line="288" w:before="0" w:after="200"/>
        <w:jc w:val="left"/>
        <w:rPr/>
      </w:pPr>
      <w:r>
        <w:rPr>
          <w:rFonts w:ascii="Arial;sans-serif" w:hAnsi="Arial;sans-serif"/>
          <w:b w:val="false"/>
          <w:color w:val="000000"/>
          <w:sz w:val="20"/>
        </w:rPr>
        <w:t xml:space="preserve">We compute net earnings (loss) per common share in accordance with ASC 260 - </w:t>
      </w:r>
      <w:r>
        <w:rPr>
          <w:rFonts w:ascii="Arial;sans-serif" w:hAnsi="Arial;sans-serif"/>
          <w:b w:val="false"/>
          <w:i/>
          <w:color w:val="000000"/>
          <w:sz w:val="20"/>
        </w:rPr>
        <w:t>Earnings Per Share</w:t>
      </w:r>
      <w:r>
        <w:rPr>
          <w:color w:val="000000"/>
        </w:rPr>
        <w:t xml:space="preserve"> </w:t>
      </w:r>
      <w:r>
        <w:rPr>
          <w:rFonts w:ascii="Arial;sans-serif" w:hAnsi="Arial;sans-serif"/>
          <w:b w:val="false"/>
          <w:color w:val="000000"/>
          <w:sz w:val="20"/>
        </w:rPr>
        <w:t xml:space="preserve">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(q) Stock-Based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stock-based compensation consists of stock options, restricted stock awards, performance-based restricted stock awards and restricted stock units granted under our stock-based compensation plans. Certain of our awards include vesting terms that are based on market conditions.</w:t>
      </w:r>
    </w:p>
    <w:p>
      <w:pPr>
        <w:pStyle w:val="TextBody"/>
        <w:bidi w:val="0"/>
        <w:spacing w:lineRule="auto" w:line="288" w:before="0" w:after="24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w:t>
      </w:r>
      <w:r>
        <w:rPr>
          <w:color w:val="000000"/>
        </w:rPr>
        <w:t>—</w:t>
      </w:r>
      <w:r>
        <w:rPr>
          <w:rFonts w:ascii="Arial;sans-serif" w:hAnsi="Arial;sans-serif"/>
          <w:b w:val="false"/>
          <w:i/>
          <w:color w:val="000000"/>
          <w:sz w:val="20"/>
        </w:rPr>
        <w:t>Stock Compensation</w:t>
      </w:r>
      <w:r>
        <w:rPr>
          <w:color w:val="000000"/>
        </w:rPr>
        <w:t xml:space="preserve"> </w:t>
      </w:r>
      <w:r>
        <w:rPr>
          <w:rFonts w:ascii="Arial;sans-serif" w:hAnsi="Arial;sans-serif"/>
          <w:b w:val="false"/>
          <w:color w:val="000000"/>
          <w:sz w:val="20"/>
        </w:rPr>
        <w:t>which requires that share-based equity awards granted to employees or non-employee directors be accounted for based on the grant-date fair value of the i) entity’s equity instruments or ii) liabilities that are based on the fair value of the entity’s equity instruments or that may be settled by the issuance of such equity instruments. The costs of such instruments are then amortized to expense over the service periods. We recognize forfeitures of awards as they occur, recapturing any expense recorded for unvested awards.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 option may be granted with an exercise period in excess of ten years from the date of grant. Stock options are granted with an exercise price equal to the fair market value of our stock on the date of grant and will generally vest over four years.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Stock options without market conditions are valued on the date of grant using the Black-Scholes option pricing model, which requires the use of certain assumptions, including the expected volatility of our stock price, the expected term of the option, the risk-free rate of return and the expected dividend yield. Stock options that vest based on market conditions are valued on the date of grant using a Monte Carlo simulation model which also requires assumptions for grant date stock price, strike price, expected volatility, risk-free rate of return, the expected term of the option, the expected dividend yield and incorporates the probability of achieving the market conditions. Market conditions are reflected in the grant date fair value of these awards, therefore, compensation cost is recognized regardless of whether the market conditions are ultimately satisfied, provided the requisite service is rendered. </w:t>
      </w:r>
    </w:p>
    <w:p>
      <w:pPr>
        <w:pStyle w:val="TextBody"/>
        <w:bidi w:val="0"/>
        <w:spacing w:lineRule="auto" w:line="288" w:before="0" w:after="200"/>
        <w:jc w:val="left"/>
        <w:rPr/>
      </w:pPr>
      <w:r>
        <w:rPr>
          <w:rFonts w:ascii="Arial;sans-serif" w:hAnsi="Arial;sans-serif"/>
          <w:b w:val="false"/>
          <w:color w:val="000000"/>
          <w:sz w:val="20"/>
        </w:rPr>
        <w:t>Restricted stock awards (“</w:t>
      </w:r>
      <w:r>
        <w:rPr>
          <w:rFonts w:ascii="Arial;sans-serif" w:hAnsi="Arial;sans-serif"/>
          <w:b/>
          <w:color w:val="000000"/>
          <w:sz w:val="20"/>
          <w:u w:val="single"/>
        </w:rPr>
        <w:t>RSAs</w:t>
      </w:r>
      <w:r>
        <w:rPr>
          <w:color w:val="000000"/>
        </w:rPr>
        <w:t>”</w:t>
      </w:r>
      <w:r>
        <w:rPr>
          <w:rFonts w:ascii="Arial;sans-serif" w:hAnsi="Arial;sans-serif"/>
          <w:b w:val="false"/>
          <w:color w:val="000000"/>
          <w:sz w:val="20"/>
        </w:rPr>
        <w:t>) and restricted stock units (“</w:t>
      </w:r>
      <w:r>
        <w:rPr>
          <w:rFonts w:ascii="Arial;sans-serif" w:hAnsi="Arial;sans-serif"/>
          <w:b/>
          <w:color w:val="000000"/>
          <w:sz w:val="20"/>
          <w:u w:val="single"/>
        </w:rPr>
        <w:t>RSUs</w:t>
      </w:r>
      <w:r>
        <w:rPr>
          <w:color w:val="000000"/>
        </w:rPr>
        <w:t>”</w:t>
      </w:r>
      <w:r>
        <w:rPr>
          <w:rFonts w:ascii="Arial;sans-serif" w:hAnsi="Arial;sans-serif"/>
          <w:b w:val="false"/>
          <w:color w:val="000000"/>
          <w:sz w:val="20"/>
        </w:rPr>
        <w:t>) are valued based on the quoted market price of our stock at the grant date. RSAs and RSUs generally vest over four years for employees. In 2025, RSAs granted to our independent directors vest on the one-year anniversary of the grant date. On June 17, 2026, at the 2026 Annual Meeting of Stockholders of InTest Corporation, the stockholders approved Amendment No. 1 to the InTest Corporation 2023 Stock Incentive Plan, which among other things modified the vesting of RSAs granted to our independent directors to vest 25% at each of March 31, June 30, September 30, and December 31 of the year in which they were granted. Within that amendment, the RSAs granted to the independent directors in March 2026 vested 25% on June 17, 2026 and 25% on June 30, 2026, resulting in modification accounting for the acceleration of vesting as of June 30, 2026.</w:t>
      </w:r>
    </w:p>
    <w:p>
      <w:pPr>
        <w:pStyle w:val="TextBody"/>
        <w:bidi w:val="0"/>
        <w:spacing w:lineRule="auto" w:line="288" w:before="0" w:after="240"/>
        <w:jc w:val="left"/>
        <w:rPr/>
      </w:pPr>
      <w:r>
        <w:rPr>
          <w:rFonts w:ascii="Arial;sans-serif" w:hAnsi="Arial;sans-serif"/>
          <w:b w:val="false"/>
          <w:color w:val="000000"/>
          <w:sz w:val="20"/>
        </w:rPr>
        <w:t>We also grant performance-based stock awards (“</w:t>
      </w:r>
      <w:r>
        <w:rPr>
          <w:rFonts w:ascii="Arial;sans-serif" w:hAnsi="Arial;sans-serif"/>
          <w:b/>
          <w:color w:val="000000"/>
          <w:sz w:val="20"/>
          <w:u w:val="single"/>
        </w:rPr>
        <w:t>PSAs</w:t>
      </w:r>
      <w:r>
        <w:rPr>
          <w:color w:val="000000"/>
        </w:rPr>
        <w:t>”</w:t>
      </w:r>
      <w:r>
        <w:rPr>
          <w:rFonts w:ascii="Arial;sans-serif" w:hAnsi="Arial;sans-serif"/>
          <w:b w:val="false"/>
          <w:color w:val="000000"/>
          <w:sz w:val="20"/>
        </w:rPr>
        <w:t>) where the ultimate number of shares that vest can vary and is based on the achievement of specific performance metrics or the outcome of specified market conditions. The grant date fair value of PSAs without market conditions is based on the market price of our common stock on the grant date. We estimate an initial probable outcome for achievement of the performance metrics for PSAs without market conditions at the grant date and subsequently, at each future reporting period, we reassess the probable outcome for achievement for each individual grant against the relevant performance metrics and record an adjustment to the total fair value estimate as needed in the period in which there is a change in our assessment of the probable outcome for that grant. The grant date fair value of PSAs that vest based on market conditions is estimated using a Monte Carlo simulation model which also requires assumptions for grant date stock price, expected volatility, risk-free rate of return, the expected term of the award and incorporates the probability of achieving the market conditions. Market conditions are reflected in the grant date fair value of these awards, therefore, compensation cost is recognized regardless of whether the market condition is ultimately satisfied, provided the requisite service is rendered. We do not reassess the fair value of PSAs that vest based on market conditions in future periods. Vesting for PSAs is generally cliff vesting at the end of the service period. Compensation expense for PSAs is recorded on a straight-line basis over the service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Consistent with prior years, for any PSAs, including those with market conditions, where the final number of awards to be issued can vary depending upon the ultimate outcome of the specified performance or market conditions, we issue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for PSAs at the 100% achievement level (“target”) at the grant date. We also reserve additional shares in the event that the vesting of the PSAs occurs at the maximum levels.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RSAs, PSAs and RSUs vest, certain employees surrender their vested shares to satisfy their tax liability on vesting. The fair value of those shares on the vesting date is then used by us to pay those employees’ tax obligations. The shares surrendered are reported as treasury stock in our Consolidated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(13)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as a component of accumulated other comprehensive earnings within stockholders’ equity. Transaction gains or losses are included in net earnings. For the six months ended June 30, 2026 and 2025, our net foreign currency transaction gains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Consolidated Statements of Operations.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(t)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xml:space="preserve">, we recognize a liability for restructuring costs at fair value only when the liability is incurred. Workforce-related charges, including those related to leadership transition actions,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future cash flows related to the expected future remaining use and ultimate sale or disposal of the asset, and, in the case of our ROU assets, would include expected future sublease rental income, if applicable. These estimates are derived using the guidance in ASC 842, ASC 360 and ASC 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(u)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In December 2025, the Financial Accounting Standards Board (“</w:t>
      </w:r>
      <w:r>
        <w:rPr>
          <w:rFonts w:ascii="Arial;sans-serif" w:hAnsi="Arial;sans-serif"/>
          <w:b/>
          <w:color w:val="000000"/>
          <w:sz w:val="20"/>
          <w:u w:val="single"/>
        </w:rPr>
        <w:t>FASB</w:t>
      </w:r>
      <w:r>
        <w:rPr>
          <w:color w:val="000000"/>
        </w:rPr>
        <w:t>”</w:t>
      </w:r>
      <w:r>
        <w:rPr>
          <w:rFonts w:ascii="Arial;sans-serif" w:hAnsi="Arial;sans-serif"/>
          <w:b w:val="false"/>
          <w:color w:val="000000"/>
          <w:sz w:val="20"/>
        </w:rPr>
        <w:t>) issued Accounting Standards Update (“</w:t>
      </w:r>
      <w:r>
        <w:rPr>
          <w:rFonts w:ascii="Arial;sans-serif" w:hAnsi="Arial;sans-serif"/>
          <w:b/>
          <w:color w:val="000000"/>
          <w:sz w:val="20"/>
          <w:u w:val="single"/>
        </w:rPr>
        <w:t>ASU</w:t>
      </w:r>
      <w:r>
        <w:rPr>
          <w:color w:val="000000"/>
        </w:rPr>
        <w:t>”</w:t>
      </w:r>
      <w:r>
        <w:rPr>
          <w:rFonts w:ascii="Arial;sans-serif" w:hAnsi="Arial;sans-serif"/>
          <w:b w:val="false"/>
          <w:color w:val="000000"/>
          <w:sz w:val="20"/>
        </w:rPr>
        <w:t xml:space="preserve">) 2025-11, </w:t>
      </w:r>
      <w:r>
        <w:rPr>
          <w:rFonts w:ascii="Arial;sans-serif" w:hAnsi="Arial;sans-serif"/>
          <w:b w:val="false"/>
          <w:i/>
          <w:color w:val="000000"/>
          <w:sz w:val="20"/>
        </w:rPr>
        <w:t xml:space="preserve">Interim Reporting (Topic 270): Narrow Scope Improvements </w:t>
      </w:r>
      <w:r>
        <w:rPr>
          <w:rFonts w:ascii="Arial;sans-serif" w:hAnsi="Arial;sans-serif"/>
          <w:b w:val="false"/>
          <w:color w:val="000000"/>
          <w:sz w:val="20"/>
        </w:rPr>
        <w:t>(“</w:t>
      </w:r>
      <w:r>
        <w:rPr>
          <w:rFonts w:ascii="Arial;sans-serif" w:hAnsi="Arial;sans-serif"/>
          <w:b/>
          <w:color w:val="000000"/>
          <w:sz w:val="20"/>
          <w:u w:val="single"/>
        </w:rPr>
        <w:t>ASU 2025-11</w:t>
      </w:r>
      <w:r>
        <w:rPr>
          <w:color w:val="000000"/>
        </w:rPr>
        <w:t>”</w:t>
      </w:r>
      <w:r>
        <w:rPr>
          <w:rFonts w:ascii="Arial;sans-serif" w:hAnsi="Arial;sans-serif"/>
          <w:b w:val="false"/>
          <w:color w:val="000000"/>
          <w:sz w:val="20"/>
        </w:rPr>
        <w:t>). This update improves the navigability of ASC 270 by consolidating interim disclosure requirements and adding a disclosure principle that requires disclosure of material events and changes since the end of the most recent annual reporting period. This ASU is effective for our interim periods in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2025-10</w:t>
      </w:r>
      <w:r>
        <w:rPr>
          <w:color w:val="000000"/>
        </w:rPr>
        <w:t>”</w:t>
      </w:r>
      <w:r>
        <w:rPr>
          <w:rFonts w:ascii="Arial;sans-serif" w:hAnsi="Arial;sans-serif"/>
          <w:b w:val="false"/>
          <w:color w:val="000000"/>
          <w:sz w:val="20"/>
        </w:rPr>
        <w:t>). This update creates Topic 832 to provide guidance on recognition, measurement, presentation, and disclosure of government grants (monetary or tangible nonmonetary assets) received by business entities, excluding not-for-profit entities, tax items under ASC 740, below-market loans, and certain other transactions. Key provisions include policy elections for asset-related grants and requirements to disclose grant nature, accounting policies, line-item impacts, and significant terms/conditions. This ASU is effective for interim periods in fiscal years beginning after December 15, 2028, with early adoption permitted. We expect to adopt this update via the modified prospective transition approach.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Intangibles - Goodwill and Other - Internal-Use Software (Subtopic 350-40): Targeted Improvements to the Accounting for Internal-Use Software </w:t>
      </w:r>
      <w:r>
        <w:rPr>
          <w:rFonts w:ascii="Arial;sans-serif" w:hAnsi="Arial;sans-serif"/>
          <w:b w:val="false"/>
          <w:color w:val="000000"/>
          <w:sz w:val="20"/>
        </w:rPr>
        <w:t>(“</w:t>
      </w:r>
      <w:r>
        <w:rPr>
          <w:rFonts w:ascii="Arial;sans-serif" w:hAnsi="Arial;sans-serif"/>
          <w:b/>
          <w:color w:val="000000"/>
          <w:sz w:val="20"/>
          <w:u w:val="single"/>
        </w:rPr>
        <w:t>ASU 2025-06</w:t>
      </w:r>
      <w:r>
        <w:rPr>
          <w:color w:val="000000"/>
        </w:rPr>
        <w:t>”</w:t>
      </w:r>
      <w:r>
        <w:rPr>
          <w:rFonts w:ascii="Arial;sans-serif" w:hAnsi="Arial;sans-serif"/>
          <w:b w:val="false"/>
          <w:color w:val="000000"/>
          <w:sz w:val="20"/>
        </w:rPr>
        <w:t>). This update removes references to prescriptive and sequential software development stages and introduces the “probable-to-complete” threshold for consideration of when to begin software capitalization. The update also requires the disclosure of the gross capitalized internal-use software balance, the accumulated amortization, the amortization for the period and a general description of the method used in computing amortization. The amendments may be adopted on a prospective, modified transition or retrospective basis and are effective for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 xml:space="preserve">Financial Instruments - Credit Losses (Topic 326): Measurement of Credit Losses for Accounts Receivable and Contract Assets </w:t>
      </w:r>
      <w:r>
        <w:rPr>
          <w:rFonts w:ascii="Arial;sans-serif" w:hAnsi="Arial;sans-serif"/>
          <w:b w:val="false"/>
          <w:color w:val="000000"/>
          <w:sz w:val="20"/>
        </w:rPr>
        <w:t>(“</w:t>
      </w:r>
      <w:r>
        <w:rPr>
          <w:rFonts w:ascii="Arial;sans-serif" w:hAnsi="Arial;sans-serif"/>
          <w:b/>
          <w:color w:val="000000"/>
          <w:sz w:val="20"/>
          <w:u w:val="single"/>
        </w:rPr>
        <w:t>ASU 2025-05</w:t>
      </w:r>
      <w:r>
        <w:rPr>
          <w:color w:val="000000"/>
        </w:rPr>
        <w:t>”</w:t>
      </w:r>
      <w:r>
        <w:rPr>
          <w:rFonts w:ascii="Arial;sans-serif" w:hAnsi="Arial;sans-serif"/>
          <w:b w:val="false"/>
          <w:color w:val="000000"/>
          <w:sz w:val="20"/>
        </w:rPr>
        <w:t>). The amendments introduce a practical expedient related to applying Subtopic 326-20 to current accounts receivable and current contract assets. The practical expedient allows all entities to assume that current conditions as of the balance sheet date do not change for the remaining life of the asset when developing reasonable and supportable forecasts as part of estimating expected credit losses. Under the practical expedient, historical loss information will be adjusted to reflect current conditions to the extent that historic information does not reflect current conditions. The amendments must be adopted on a prospective basis and are effective for fiscal years beginning after December 15, 2025, with early adoption permitted. We have evaluated the impact of the amendments and do not believe there is any material effect to our Consolidated Financial Statements or our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that requires additional disclosure of certain costs and 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December 15, 2026, and for interim periods beginning after December 15, 2027, and may be adopted on a prospective basis at the effective date or retrospectively applied to all periods presented. We do not believe there will be any impact on our Consolidated Statements of Operations and are evaluating the impact of the amendments on footnote disclosures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 xml:space="preserve">In March 2024, the SEC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On May 29, 2026, the SEC issued a proposed rescission of Climate-Related Disclosures (SEC Release 33-11421) which, if approved after the 60-day review and comment period, would rescind in its entirety the rule proposed under the March 2024 Release 33-11275. Therefore, the implementation dates remain on hold. We are monitoring SEC developments and evaluating the impact of the new rule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(3)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were comprised of the following:</w:t>
      </w:r>
    </w:p>
    <w:tbl>
      <w:tblPr>
        <w:tblW w:w="5834"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11"/>
        <w:gridCol w:w="751"/>
        <w:gridCol w:w="109"/>
        <w:gridCol w:w="109"/>
        <w:gridCol w:w="109"/>
        <w:gridCol w:w="109"/>
        <w:gridCol w:w="266"/>
        <w:gridCol w:w="949"/>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16,704 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16,422 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31,580 </w:t>
            </w:r>
          </w:p>
        </w:tc>
        <w:tc>
          <w:tcPr>
            <w:tcW w:w="19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were as follows:</w:t>
      </w:r>
    </w:p>
    <w:tbl>
      <w:tblPr>
        <w:tblW w:w="8217"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36"/>
        <w:gridCol w:w="538"/>
        <w:gridCol w:w="121"/>
        <w:gridCol w:w="121"/>
        <w:gridCol w:w="121"/>
        <w:gridCol w:w="121"/>
        <w:gridCol w:w="236"/>
        <w:gridCol w:w="420"/>
        <w:gridCol w:w="121"/>
        <w:gridCol w:w="109"/>
        <w:gridCol w:w="109"/>
        <w:gridCol w:w="109"/>
        <w:gridCol w:w="211"/>
        <w:gridCol w:w="481"/>
        <w:gridCol w:w="109"/>
        <w:gridCol w:w="109"/>
        <w:gridCol w:w="109"/>
        <w:gridCol w:w="109"/>
        <w:gridCol w:w="211"/>
        <w:gridCol w:w="48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(4)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6014"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211"/>
        <w:gridCol w:w="751"/>
        <w:gridCol w:w="109"/>
        <w:gridCol w:w="109"/>
        <w:gridCol w:w="109"/>
        <w:gridCol w:w="109"/>
        <w:gridCol w:w="266"/>
        <w:gridCol w:w="949"/>
        <w:gridCol w:w="19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10,194 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5954"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operating segments which are also our reporting units: Electronic Test, Environmental Technologies and Process Technologies. Goodwill and intangible assets on our Consolidated Balance Sheets are the result of our acquisitions.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goodwill are as follows:</w:t>
      </w:r>
    </w:p>
    <w:tbl>
      <w:tblPr>
        <w:tblW w:w="5927"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75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31,965 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was comprised of the following:</w:t>
      </w:r>
    </w:p>
    <w:tbl>
      <w:tblPr>
        <w:tblW w:w="5714"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11"/>
        <w:gridCol w:w="751"/>
        <w:gridCol w:w="109"/>
        <w:gridCol w:w="109"/>
        <w:gridCol w:w="109"/>
        <w:gridCol w:w="109"/>
        <w:gridCol w:w="266"/>
        <w:gridCol w:w="94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13,957 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31,965 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i/>
          <w:color w:val="000000"/>
          <w:sz w:val="20"/>
          <w:u w:val="single"/>
        </w:rPr>
        <w:t>Intangible Assets</w:t>
      </w:r>
      <w:r>
        <w:rPr>
          <w:color w:val="000000"/>
        </w:rPr>
        <w:t xml:space="preserv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our intangible assets were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12,575 </w:t>
            </w:r>
          </w:p>
        </w:tc>
        <w:tc>
          <w:tcPr>
            <w:tcW w:w="1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10,408 </w:t>
            </w:r>
          </w:p>
        </w:tc>
        <w:tc>
          <w:tcPr>
            <w:tcW w:w="2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32,010 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12,575 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42,418 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19,435 </w:t>
            </w:r>
          </w:p>
        </w:tc>
        <w:tc>
          <w:tcPr>
            <w:tcW w:w="1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22,983 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42,975 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24,876 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 and thereafter:</w:t>
      </w:r>
    </w:p>
    <w:tbl>
      <w:tblPr>
        <w:tblW w:w="6737" w:type="dxa"/>
        <w:jc w:val="center"/>
        <w:tblInd w:w="0" w:type="dxa"/>
        <w:tblLayout w:type="fixed"/>
        <w:tblCellMar>
          <w:top w:w="28" w:type="dxa"/>
          <w:left w:w="28" w:type="dxa"/>
          <w:bottom w:w="28" w:type="dxa"/>
          <w:right w:w="28" w:type="dxa"/>
        </w:tblCellMar>
      </w:tblPr>
      <w:tblGrid>
        <w:gridCol w:w="1915"/>
        <w:gridCol w:w="1688"/>
        <w:gridCol w:w="1691"/>
        <w:gridCol w:w="109"/>
        <w:gridCol w:w="109"/>
        <w:gridCol w:w="109"/>
        <w:gridCol w:w="211"/>
        <w:gridCol w:w="751"/>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(6)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disclosed in “</w:t>
      </w:r>
      <w:r>
        <w:rPr>
          <w:rFonts w:ascii="Arial;sans-serif" w:hAnsi="Arial;sans-serif"/>
          <w:b/>
          <w:color w:val="000000"/>
          <w:sz w:val="20"/>
        </w:rPr>
        <w:t>Note (2) Summary of Significant Accounting Policies; (n)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(9) Debt</w:t>
      </w:r>
      <w:r>
        <w:rPr>
          <w:rFonts w:ascii="Arial;sans-serif" w:hAnsi="Arial;sans-serif"/>
          <w:b w:val="false"/>
          <w:color w:val="000000"/>
          <w:sz w:val="20"/>
        </w:rPr>
        <w:t xml:space="preserve">,” is measured at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recurring basis using Level 2 inputs. The contingent consideration liability on our Consolidated Balance Sheet is measured at fair value on a recurring basis using Level 3 inputs.</w:t>
      </w:r>
    </w:p>
    <w:p>
      <w:pPr>
        <w:pStyle w:val="TextBody"/>
        <w:bidi w:val="0"/>
        <w:spacing w:lineRule="auto" w:line="288" w:before="0" w:after="200"/>
        <w:jc w:val="left"/>
        <w:rPr/>
      </w:pPr>
      <w:r>
        <w:rPr>
          <w:rFonts w:ascii="Arial;sans-serif" w:hAnsi="Arial;sans-serif"/>
          <w:b w:val="false"/>
          <w:color w:val="000000"/>
          <w:sz w:val="20"/>
        </w:rPr>
        <w:t>Our contingent consideration liability is a result of our acquisition of Acculogic on December 21, 2021, and represents the estimated fair value of the additional cash consideration payable that is contingent upon sales to 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or battery customers. We may pay the seller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$3.5 million at June 30, 2026. There were no payments due to the seller for the years ended December 31, 2022 or 2023. We paid the contractually due amount for 2024 during the first quarter of 2025 and the contractually due amount for 2025 during the first quarter of 2026.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During the three months ended June 30, 2026, based on updated forecasts, we reassessed the remaining obligation and reduced the fair value by $0.2 million.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 presents information about assets and (liabilities) measured at fair value on a recurring basis:</w:t>
      </w:r>
    </w:p>
    <w:tbl>
      <w:tblPr>
        <w:tblW w:w="7462" w:type="dxa"/>
        <w:jc w:val="center"/>
        <w:tblInd w:w="0" w:type="dxa"/>
        <w:tblLayout w:type="fixed"/>
        <w:tblCellMar>
          <w:top w:w="28" w:type="dxa"/>
          <w:left w:w="28" w:type="dxa"/>
          <w:bottom w:w="28" w:type="dxa"/>
          <w:right w:w="28" w:type="dxa"/>
        </w:tblCellMar>
      </w:tblPr>
      <w:tblGrid>
        <w:gridCol w:w="1101"/>
        <w:gridCol w:w="970"/>
        <w:gridCol w:w="974"/>
        <w:gridCol w:w="109"/>
        <w:gridCol w:w="109"/>
        <w:gridCol w:w="109"/>
        <w:gridCol w:w="236"/>
        <w:gridCol w:w="304"/>
        <w:gridCol w:w="109"/>
        <w:gridCol w:w="109"/>
        <w:gridCol w:w="109"/>
        <w:gridCol w:w="109"/>
        <w:gridCol w:w="230"/>
        <w:gridCol w:w="444"/>
        <w:gridCol w:w="119"/>
        <w:gridCol w:w="119"/>
        <w:gridCol w:w="119"/>
        <w:gridCol w:w="119"/>
        <w:gridCol w:w="273"/>
        <w:gridCol w:w="351"/>
        <w:gridCol w:w="141"/>
        <w:gridCol w:w="119"/>
        <w:gridCol w:w="119"/>
        <w:gridCol w:w="119"/>
        <w:gridCol w:w="230"/>
        <w:gridCol w:w="444"/>
        <w:gridCol w:w="168"/>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29"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376"/>
        <w:gridCol w:w="109"/>
        <w:gridCol w:w="109"/>
        <w:gridCol w:w="109"/>
        <w:gridCol w:w="109"/>
        <w:gridCol w:w="222"/>
        <w:gridCol w:w="428"/>
        <w:gridCol w:w="114"/>
        <w:gridCol w:w="114"/>
        <w:gridCol w:w="114"/>
        <w:gridCol w:w="114"/>
        <w:gridCol w:w="232"/>
        <w:gridCol w:w="414"/>
        <w:gridCol w:w="119"/>
        <w:gridCol w:w="114"/>
        <w:gridCol w:w="114"/>
        <w:gridCol w:w="114"/>
        <w:gridCol w:w="222"/>
        <w:gridCol w:w="427"/>
        <w:gridCol w:w="162"/>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fair value of our Level 3 contingent consideration liabilities were as follows:</w:t>
      </w:r>
    </w:p>
    <w:tbl>
      <w:tblPr>
        <w:tblW w:w="9150"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(7)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7678"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211"/>
        <w:gridCol w:w="751"/>
        <w:gridCol w:w="109"/>
        <w:gridCol w:w="109"/>
        <w:gridCol w:w="109"/>
        <w:gridCol w:w="109"/>
        <w:gridCol w:w="266"/>
        <w:gridCol w:w="949"/>
        <w:gridCol w:w="194"/>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LEASES</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(2) Summary of Significant Accounting Policies; (m) Leases</w:t>
      </w:r>
      <w:r>
        <w:rPr>
          <w:rFonts w:ascii="Arial;sans-serif" w:hAnsi="Arial;sans-serif"/>
          <w:b w:val="false"/>
          <w:color w:val="000000"/>
          <w:sz w:val="20"/>
        </w:rPr>
        <w:t xml:space="preserve">,” we account for our leases in accordance with the guidance in ASC 842. We lease our offices, warehouse facilities and certain equipment under non-cancellable operating leases that expire at various dates through 2032. Total operating lease and short-term lease costs were as follows: </w:t>
      </w:r>
    </w:p>
    <w:tbl>
      <w:tblPr>
        <w:tblW w:w="6990"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64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 as of June 30, 2026:</w:t>
      </w:r>
    </w:p>
    <w:tbl>
      <w:tblPr>
        <w:tblW w:w="6102" w:type="dxa"/>
        <w:jc w:val="center"/>
        <w:tblInd w:w="0" w:type="dxa"/>
        <w:tblLayout w:type="fixed"/>
        <w:tblCellMar>
          <w:top w:w="28" w:type="dxa"/>
          <w:left w:w="28" w:type="dxa"/>
          <w:bottom w:w="28" w:type="dxa"/>
          <w:right w:w="28" w:type="dxa"/>
        </w:tblCellMar>
      </w:tblPr>
      <w:tblGrid>
        <w:gridCol w:w="1602"/>
        <w:gridCol w:w="1409"/>
        <w:gridCol w:w="1413"/>
        <w:gridCol w:w="109"/>
        <w:gridCol w:w="109"/>
        <w:gridCol w:w="109"/>
        <w:gridCol w:w="125"/>
        <w:gridCol w:w="125"/>
        <w:gridCol w:w="126"/>
        <w:gridCol w:w="184"/>
        <w:gridCol w:w="184"/>
        <w:gridCol w:w="186"/>
        <w:gridCol w:w="123"/>
        <w:gridCol w:w="123"/>
        <w:gridCol w:w="17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0.1</w:t>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as of June 30, 2026, were as follows:</w:t>
      </w:r>
    </w:p>
    <w:tbl>
      <w:tblPr>
        <w:tblW w:w="4682" w:type="dxa"/>
        <w:jc w:val="center"/>
        <w:tblInd w:w="0" w:type="dxa"/>
        <w:tblLayout w:type="fixed"/>
        <w:tblCellMar>
          <w:top w:w="28" w:type="dxa"/>
          <w:left w:w="28" w:type="dxa"/>
          <w:bottom w:w="28" w:type="dxa"/>
          <w:right w:w="28" w:type="dxa"/>
        </w:tblCellMar>
      </w:tblPr>
      <w:tblGrid>
        <w:gridCol w:w="1209"/>
        <w:gridCol w:w="1067"/>
        <w:gridCol w:w="1068"/>
        <w:gridCol w:w="109"/>
        <w:gridCol w:w="109"/>
        <w:gridCol w:w="109"/>
        <w:gridCol w:w="211"/>
        <w:gridCol w:w="64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9,744 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tbl>
      <w:tblPr>
        <w:tblW w:w="10205" w:type="dxa"/>
        <w:jc w:val="center"/>
        <w:tblInd w:w="0" w:type="dxa"/>
        <w:tblLayout w:type="fixed"/>
        <w:tblCellMar>
          <w:top w:w="28" w:type="dxa"/>
          <w:left w:w="28" w:type="dxa"/>
          <w:bottom w:w="28" w:type="dxa"/>
          <w:right w:w="28" w:type="dxa"/>
        </w:tblCellMar>
      </w:tblPr>
      <w:tblGrid>
        <w:gridCol w:w="1890"/>
        <w:gridCol w:w="1668"/>
        <w:gridCol w:w="1663"/>
        <w:gridCol w:w="109"/>
        <w:gridCol w:w="109"/>
        <w:gridCol w:w="109"/>
        <w:gridCol w:w="221"/>
        <w:gridCol w:w="504"/>
        <w:gridCol w:w="114"/>
        <w:gridCol w:w="114"/>
        <w:gridCol w:w="114"/>
        <w:gridCol w:w="114"/>
        <w:gridCol w:w="221"/>
        <w:gridCol w:w="504"/>
        <w:gridCol w:w="114"/>
        <w:gridCol w:w="109"/>
        <w:gridCol w:w="109"/>
        <w:gridCol w:w="109"/>
        <w:gridCol w:w="211"/>
        <w:gridCol w:w="646"/>
        <w:gridCol w:w="109"/>
        <w:gridCol w:w="109"/>
        <w:gridCol w:w="109"/>
        <w:gridCol w:w="109"/>
        <w:gridCol w:w="211"/>
        <w:gridCol w:w="646"/>
        <w:gridCol w:w="160"/>
      </w:tblGrid>
      <w:tr>
        <w:trPr/>
        <w:tc>
          <w:tcPr>
            <w:tcW w:w="189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52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part of our Alfamation</w:t>
      </w:r>
      <w:r>
        <w:rPr>
          <w:color w:val="000000"/>
        </w:rPr>
        <w:t xml:space="preserve">™ </w:t>
      </w:r>
      <w:r>
        <w:rPr>
          <w:rFonts w:ascii="Arial;sans-serif" w:hAnsi="Arial;sans-serif"/>
          <w:b w:val="false"/>
          <w:color w:val="000000"/>
          <w:sz w:val="20"/>
        </w:rPr>
        <w:t>acquisition on March 12, 2024, we entered into the related-party Alfamation Lease Agreement for the seller-owned facility where Alfamation</w:t>
      </w:r>
      <w:r>
        <w:rPr>
          <w:color w:val="000000"/>
        </w:rPr>
        <w:t xml:space="preserve">™ </w:t>
      </w:r>
      <w:r>
        <w:rPr>
          <w:rFonts w:ascii="Arial;sans-serif" w:hAnsi="Arial;sans-serif"/>
          <w:b w:val="false"/>
          <w:color w:val="000000"/>
          <w:sz w:val="20"/>
        </w:rPr>
        <w:t>has its principal operations. The Alfamation Lease Agreement commenced on March 12, 2024 and the initial term was six years. It will automatically renew for the same period of time unless terminated by either party. The leased premises include warehouse and office space totaling approximately 52 thousand square feet. The semi-annual lease payments are €0.1 million, which at the date of the signing of the Alfamation Lease agreement equated to approximately $0.1 million per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(9)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These letters of credit are secured by pledged certificates of deposit which are classified as other assets on our Consolidated Balance Sheets. The terms of our leases require us to renew these letters of credit at least 30 days prior to their expiration dates for successive terms of not less than one year until lease expiration. Our outstanding letters of credit consisted of the following:</w:t>
      </w:r>
    </w:p>
    <w:tbl>
      <w:tblPr>
        <w:tblW w:w="8237"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355"/>
        <w:gridCol w:w="355"/>
        <w:gridCol w:w="356"/>
        <w:gridCol w:w="109"/>
        <w:gridCol w:w="109"/>
        <w:gridCol w:w="109"/>
        <w:gridCol w:w="354"/>
        <w:gridCol w:w="354"/>
        <w:gridCol w:w="358"/>
        <w:gridCol w:w="109"/>
        <w:gridCol w:w="109"/>
        <w:gridCol w:w="109"/>
        <w:gridCol w:w="236"/>
        <w:gridCol w:w="541"/>
        <w:gridCol w:w="122"/>
        <w:gridCol w:w="115"/>
        <w:gridCol w:w="115"/>
        <w:gridCol w:w="115"/>
        <w:gridCol w:w="235"/>
        <w:gridCol w:w="538"/>
        <w:gridCol w:w="171"/>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Jun. 30, </w:t>
              <w:br/>
              <w:t>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Dec. 31, </w:t>
              <w:br/>
              <w:t>2025</w:t>
            </w:r>
          </w:p>
        </w:tc>
      </w:tr>
      <w:tr>
        <w:trPr/>
        <w:tc>
          <w:tcPr>
            <w:tcW w:w="13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which, was subsequently amended on October 28, 2021, December 30, 2021, September 20, 2022, May 2, 2024, December 18, 2024, and August 5, 2025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June 30, 2026,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The waiver has expired, and at June 30, 2026, we were in compliance with all covenants included in the Loan Agreement.</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for this draw under the Term Note is variable. At June 30, 2026, it was approximately 5.8%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of June 30, 2026, the remainder of our Term Note matures in 2026. On May 4, 2026, we executed the Seventh Amendment to the Loan Agreement, effective as of April 30, 2026, to extend our ability to draw on the Term Note through August 28, 2026. </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w:t>
      </w:r>
      <w:r>
        <w:rPr>
          <w:color w:val="000000"/>
        </w:rPr>
        <w:t>™</w:t>
      </w:r>
      <w:r>
        <w:rPr>
          <w:rFonts w:ascii="Arial;sans-serif" w:hAnsi="Arial;sans-serif"/>
          <w:b w:val="false"/>
          <w:color w:val="000000"/>
          <w:sz w:val="20"/>
        </w:rPr>
        <w:t>, we assumed debt which totaled $11.3 million as of the acquisition date. At June 30, 2026, Alfamation</w:t>
      </w:r>
      <w:r>
        <w:rPr>
          <w:color w:val="000000"/>
        </w:rPr>
        <w:t>™’</w:t>
      </w:r>
      <w:r>
        <w:rPr>
          <w:rFonts w:ascii="Arial;sans-serif" w:hAnsi="Arial;sans-serif"/>
          <w:b w:val="false"/>
          <w:color w:val="000000"/>
          <w:sz w:val="20"/>
        </w:rPr>
        <w:t>s total debt amounted to $4.5 million. This debt is comprised of both fixed and variable rate bank issued term loans as well as $2.5 million of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 The short-term variable financing rate at June 30, 2026, was 3.5%. At June 30, 2026, the weighted average interest rate payable on the bank issued term loans was 0.6% for fixed rate debt and 4.2% for variable rate debt and the overall weighted average interest rate for the bank issued term loans was 3.5%.</w:t>
      </w:r>
    </w:p>
    <w:p>
      <w:pPr>
        <w:pStyle w:val="TextBody"/>
        <w:bidi w:val="0"/>
        <w:spacing w:lineRule="auto" w:line="288" w:before="0" w:after="200"/>
        <w:jc w:val="left"/>
        <w:rPr/>
      </w:pPr>
      <w:r>
        <w:rPr>
          <w:rFonts w:ascii="Arial;sans-serif" w:hAnsi="Arial;sans-serif"/>
          <w:b w:val="false"/>
          <w:color w:val="000000"/>
          <w:sz w:val="20"/>
        </w:rPr>
        <w:t>As of June 30, 2026, the remaining maturities of the Alfamation</w:t>
      </w:r>
      <w:r>
        <w:rPr>
          <w:color w:val="000000"/>
        </w:rPr>
        <w:t xml:space="preserve">™ </w:t>
      </w:r>
      <w:r>
        <w:rPr>
          <w:rFonts w:ascii="Arial;sans-serif" w:hAnsi="Arial;sans-serif"/>
          <w:b w:val="false"/>
          <w:color w:val="000000"/>
          <w:sz w:val="20"/>
        </w:rPr>
        <w:t>debt are as follows:</w:t>
      </w:r>
    </w:p>
    <w:tbl>
      <w:tblPr>
        <w:tblW w:w="5957" w:type="dxa"/>
        <w:jc w:val="center"/>
        <w:tblInd w:w="0" w:type="dxa"/>
        <w:tblLayout w:type="fixed"/>
        <w:tblCellMar>
          <w:top w:w="28" w:type="dxa"/>
          <w:left w:w="28" w:type="dxa"/>
          <w:bottom w:w="28" w:type="dxa"/>
          <w:right w:w="28" w:type="dxa"/>
        </w:tblCellMar>
      </w:tblPr>
      <w:tblGrid>
        <w:gridCol w:w="1670"/>
        <w:gridCol w:w="1473"/>
        <w:gridCol w:w="1476"/>
        <w:gridCol w:w="109"/>
        <w:gridCol w:w="109"/>
        <w:gridCol w:w="109"/>
        <w:gridCol w:w="211"/>
        <w:gridCol w:w="646"/>
        <w:gridCol w:w="154"/>
      </w:tblGrid>
      <w:tr>
        <w:trPr/>
        <w:tc>
          <w:tcPr>
            <w:tcW w:w="16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remaining maturities of our Alfamation</w:t>
            </w:r>
            <w:r>
              <w:rPr>
                <w:color w:val="000000"/>
              </w:rPr>
              <w:t xml:space="preserve">™ </w:t>
            </w:r>
            <w:r>
              <w:rPr>
                <w:rFonts w:ascii="Arial;sans-serif" w:hAnsi="Arial;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(10)    REVENUE FROM CONTRACTS WITH CUSTOMERS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Disaggregation of Revenue</w:t>
      </w:r>
    </w:p>
    <w:p>
      <w:pPr>
        <w:pStyle w:val="TextBody"/>
        <w:bidi w:val="0"/>
        <w:spacing w:lineRule="auto" w:line="288" w:before="0" w:after="200"/>
        <w:jc w:val="left"/>
        <w:rPr/>
      </w:pPr>
      <w:r>
        <w:rPr>
          <w:rFonts w:ascii="Arial;sans-serif" w:hAnsi="Arial;sans-serif"/>
          <w:b w:val="false"/>
          <w:color w:val="000000"/>
          <w:sz w:val="20"/>
        </w:rPr>
        <w:t>The following tables provide additional information about our revenue from contracts with customers, including revenue by customer and product type and revenue by market. See “</w:t>
      </w:r>
      <w:r>
        <w:rPr>
          <w:rFonts w:ascii="Arial;sans-serif" w:hAnsi="Arial;sans-serif"/>
          <w:b/>
          <w:color w:val="000000"/>
          <w:sz w:val="20"/>
        </w:rPr>
        <w:t>Note (17) Segment and Geographic Area Information</w:t>
      </w:r>
      <w:r>
        <w:rPr>
          <w:color w:val="000000"/>
        </w:rPr>
        <w:t xml:space="preserve">” </w:t>
      </w:r>
      <w:r>
        <w:rPr>
          <w:rFonts w:ascii="Arial;sans-serif" w:hAnsi="Arial;sans-serif"/>
          <w:b w:val="false"/>
          <w:color w:val="000000"/>
          <w:sz w:val="20"/>
        </w:rPr>
        <w:t>for information about revenue by operating segment and geographic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8277"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tbl>
      <w:tblPr>
        <w:tblW w:w="8840"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11"/>
        <w:gridCol w:w="751"/>
        <w:gridCol w:w="109"/>
        <w:gridCol w:w="203"/>
        <w:gridCol w:w="203"/>
        <w:gridCol w:w="109"/>
        <w:gridCol w:w="211"/>
        <w:gridCol w:w="751"/>
        <w:gridCol w:w="109"/>
        <w:gridCol w:w="109"/>
        <w:gridCol w:w="109"/>
        <w:gridCol w:w="109"/>
        <w:gridCol w:w="211"/>
        <w:gridCol w:w="751"/>
        <w:gridCol w:w="109"/>
        <w:gridCol w:w="109"/>
        <w:gridCol w:w="109"/>
        <w:gridCol w:w="109"/>
        <w:gridCol w:w="211"/>
        <w:gridCol w:w="751"/>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5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Alfamation™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7587"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one customer (“Customer A”) exceeded 10% of our consolidated revenue. Customer A accounted for 24% and 19% of our consolidated revenue for the three and six months ended June 30, 2026, respectively. During the three and six months ended June 30, 2025, one customer (“Customer B”) exceeded 10% of our consolidated revenue. Customer B accounted for 11% and 12% of our consolidated revenue for the three and six months ended June 30, 2025, respectively. These revenues in the periods presented were generated by our Electronic Test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of June 30, 2026, and December 31, 2025, we had total contract liabilities of $5.9 million and $7.4 million, respectively. Our contract liabilities consist of our customer deposits and deferred revenue as well as deferred revenue net of current portion on our Consolidated Balance Sheets. For the three months ended June 30, 2026, the amount recognized as revenue from the contract liabilities balance as of March 31, 2026, was $2.9 million, while for the three months ended June 30, 2025, the amount recognized as revenue from the contract liabilities balance as of March 31, 2025, was $2.4 million. For the six months ended June 30, 2026, the amount recognized as revenue from the contract liabilities balance as of December 31, 2025, was $4.3 million, while for the six months ended June 30, 2025, the amount recognized as revenue from the contract liabilities balance as of December 31, 2024, was $3.1 million. </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Activity related to our allowance for credit losses was as follows:</w:t>
      </w:r>
    </w:p>
    <w:tbl>
      <w:tblPr>
        <w:tblW w:w="9645"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(11)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center"/>
        <w:tblInd w:w="0" w:type="dxa"/>
        <w:tblLayout w:type="fixed"/>
        <w:tblCellMar>
          <w:top w:w="28" w:type="dxa"/>
          <w:left w:w="28" w:type="dxa"/>
          <w:bottom w:w="28" w:type="dxa"/>
          <w:right w:w="28" w:type="dxa"/>
        </w:tblCellMar>
      </w:tblPr>
      <w:tblGrid>
        <w:gridCol w:w="1589"/>
        <w:gridCol w:w="1394"/>
        <w:gridCol w:w="1403"/>
        <w:gridCol w:w="109"/>
        <w:gridCol w:w="109"/>
        <w:gridCol w:w="109"/>
        <w:gridCol w:w="458"/>
        <w:gridCol w:w="387"/>
        <w:gridCol w:w="222"/>
        <w:gridCol w:w="146"/>
        <w:gridCol w:w="146"/>
        <w:gridCol w:w="146"/>
        <w:gridCol w:w="458"/>
        <w:gridCol w:w="387"/>
        <w:gridCol w:w="222"/>
        <w:gridCol w:w="109"/>
        <w:gridCol w:w="109"/>
        <w:gridCol w:w="109"/>
        <w:gridCol w:w="399"/>
        <w:gridCol w:w="399"/>
        <w:gridCol w:w="268"/>
        <w:gridCol w:w="137"/>
        <w:gridCol w:w="137"/>
        <w:gridCol w:w="137"/>
        <w:gridCol w:w="383"/>
        <w:gridCol w:w="383"/>
        <w:gridCol w:w="350"/>
      </w:tblGrid>
      <w:tr>
        <w:trPr/>
        <w:tc>
          <w:tcPr>
            <w:tcW w:w="15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12,314,633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12,284,334</w:t>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267,588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217,449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12,582,221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12,501,783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484,503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536,509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769,896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EQUITY</w:t>
      </w:r>
    </w:p>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We have not made any repurchases under the Repurchase Plan since the renewal. 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(13)    STOCK-BASED COMPENSATION PLAN</w:t>
      </w:r>
    </w:p>
    <w:p>
      <w:pPr>
        <w:pStyle w:val="TextBody"/>
        <w:bidi w:val="0"/>
        <w:spacing w:lineRule="auto" w:line="288" w:before="0" w:after="200"/>
        <w:jc w:val="left"/>
        <w:rPr/>
      </w:pPr>
      <w:r>
        <w:rPr>
          <w:rFonts w:ascii="Arial;sans-serif" w:hAnsi="Arial;sans-serif"/>
          <w:b w:val="false"/>
          <w:color w:val="000000"/>
          <w:sz w:val="20"/>
        </w:rPr>
        <w:t>As of June 30, 2026, we had unvested stock options, restricted stock awards, performance-based restricted stock awards and restricted stock units granted under our stock-based compensation plans. Certain of our awards contain vesting terms based on market conditions.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No further awards can be granted under the 2014 Plan. On June 17, 2026, our stockholders approved Amendment No.1 to the InTest Corporation 2023 Stock Incentive Plan (the “</w:t>
      </w:r>
      <w:r>
        <w:rPr>
          <w:rFonts w:ascii="Arial;sans-serif" w:hAnsi="Arial;sans-serif"/>
          <w:b/>
          <w:color w:val="000000"/>
          <w:sz w:val="20"/>
          <w:u w:val="single"/>
        </w:rPr>
        <w:t>2023 Plan as amended</w:t>
      </w:r>
      <w:r>
        <w:rPr>
          <w:color w:val="000000"/>
        </w:rPr>
        <w:t>”</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maximum number of shares of common stock available for grant and issuance under the 2023 Plan as amended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plus (d) the 1,000,000 shares authorized via Amendment No.1. The number of shares available to be issued under the 2023 Plan as of the date of its approval was 1,117,942. At June 30, 2026, as a result of current year’s activity with regard to performance-based restricted stock awards (grants and forfeitures), and stock option awards with vesting terms based on market conditions, we had 26,287 shares reserved in aggregate for performance in excess of target as of June 30, 2026. As of June 30, 2026, the remaining authorization for issue under the 2023 Plan was 1,079,623.</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related to unvested stock-based awards:</w:t>
      </w:r>
    </w:p>
    <w:tbl>
      <w:tblPr>
        <w:tblW w:w="9014"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481"/>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1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Arial;sans-serif" w:hAnsi="Arial;sans-serif"/>
          <w:b w:val="false"/>
          <w:color w:val="000000"/>
          <w:sz w:val="20"/>
        </w:rPr>
      </w:pPr>
      <w:r>
        <w:rPr>
          <w:rFonts w:ascii="Arial;sans-serif" w:hAnsi="Arial;sans-serif"/>
          <w:b w:val="false"/>
          <w:color w:val="000000"/>
          <w:sz w:val="20"/>
        </w:rPr>
        <w:t>As of June 30, 2026, total compensation expense to be recognized in future periods was $5.5 million. The weighted average period over which this expense is expected to be recognized was 2.7 years. There was no compensation expense capitalized in the three and six months ended June 30, 2026 or 2025.</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for stock options without market conditions granted were estimated at the date of grant using the Black-Scholes option pricing model with the following weighted average assumptions:</w:t>
      </w:r>
    </w:p>
    <w:tbl>
      <w:tblPr>
        <w:tblW w:w="7642"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95"/>
        <w:gridCol w:w="246"/>
        <w:gridCol w:w="385"/>
        <w:gridCol w:w="146"/>
        <w:gridCol w:w="146"/>
        <w:gridCol w:w="146"/>
        <w:gridCol w:w="295"/>
        <w:gridCol w:w="246"/>
        <w:gridCol w:w="446"/>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3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4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without market conditions:</w:t>
      </w:r>
    </w:p>
    <w:tbl>
      <w:tblPr>
        <w:tblW w:w="10205" w:type="dxa"/>
        <w:jc w:val="center"/>
        <w:tblInd w:w="0" w:type="dxa"/>
        <w:tblLayout w:type="fixed"/>
        <w:tblCellMar>
          <w:top w:w="28" w:type="dxa"/>
          <w:left w:w="28" w:type="dxa"/>
          <w:bottom w:w="28" w:type="dxa"/>
          <w:right w:w="28" w:type="dxa"/>
        </w:tblCellMar>
      </w:tblPr>
      <w:tblGrid>
        <w:gridCol w:w="766"/>
        <w:gridCol w:w="629"/>
        <w:gridCol w:w="557"/>
        <w:gridCol w:w="109"/>
        <w:gridCol w:w="109"/>
        <w:gridCol w:w="109"/>
        <w:gridCol w:w="438"/>
        <w:gridCol w:w="438"/>
        <w:gridCol w:w="309"/>
        <w:gridCol w:w="109"/>
        <w:gridCol w:w="109"/>
        <w:gridCol w:w="109"/>
        <w:gridCol w:w="248"/>
        <w:gridCol w:w="760"/>
        <w:gridCol w:w="129"/>
        <w:gridCol w:w="109"/>
        <w:gridCol w:w="109"/>
        <w:gridCol w:w="109"/>
        <w:gridCol w:w="829"/>
        <w:gridCol w:w="829"/>
        <w:gridCol w:w="831"/>
        <w:gridCol w:w="109"/>
        <w:gridCol w:w="109"/>
        <w:gridCol w:w="109"/>
        <w:gridCol w:w="443"/>
        <w:gridCol w:w="1358"/>
        <w:gridCol w:w="333"/>
      </w:tblGrid>
      <w:tr>
        <w:trPr/>
        <w:tc>
          <w:tcPr>
            <w:tcW w:w="76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19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876,925 </w:t>
            </w:r>
          </w:p>
        </w:tc>
        <w:tc>
          <w:tcPr>
            <w:tcW w:w="3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2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162,021 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(330,149)</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(106,906)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601,891 </w:t>
            </w:r>
          </w:p>
        </w:tc>
        <w:tc>
          <w:tcPr>
            <w:tcW w:w="3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223,897 </w:t>
            </w:r>
          </w:p>
        </w:tc>
        <w:tc>
          <w:tcPr>
            <w:tcW w:w="3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378,968 </w:t>
            </w:r>
          </w:p>
        </w:tc>
        <w:tc>
          <w:tcPr>
            <w:tcW w:w="3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 without market conditions:</w:t>
      </w:r>
    </w:p>
    <w:tbl>
      <w:tblPr>
        <w:tblW w:w="8944" w:type="dxa"/>
        <w:jc w:val="center"/>
        <w:tblInd w:w="0" w:type="dxa"/>
        <w:tblLayout w:type="fixed"/>
        <w:tblCellMar>
          <w:top w:w="28" w:type="dxa"/>
          <w:left w:w="28" w:type="dxa"/>
          <w:bottom w:w="28" w:type="dxa"/>
          <w:right w:w="28" w:type="dxa"/>
        </w:tblCellMar>
      </w:tblPr>
      <w:tblGrid>
        <w:gridCol w:w="1587"/>
        <w:gridCol w:w="1394"/>
        <w:gridCol w:w="1398"/>
        <w:gridCol w:w="213"/>
        <w:gridCol w:w="653"/>
        <w:gridCol w:w="110"/>
        <w:gridCol w:w="110"/>
        <w:gridCol w:w="110"/>
        <w:gridCol w:w="110"/>
        <w:gridCol w:w="213"/>
        <w:gridCol w:w="410"/>
        <w:gridCol w:w="110"/>
        <w:gridCol w:w="109"/>
        <w:gridCol w:w="109"/>
        <w:gridCol w:w="109"/>
        <w:gridCol w:w="211"/>
        <w:gridCol w:w="646"/>
        <w:gridCol w:w="109"/>
        <w:gridCol w:w="109"/>
        <w:gridCol w:w="109"/>
        <w:gridCol w:w="109"/>
        <w:gridCol w:w="211"/>
        <w:gridCol w:w="54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9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Stock Options with Vesting Based on Market Conditions</w:t>
      </w:r>
    </w:p>
    <w:p>
      <w:pPr>
        <w:pStyle w:val="TextBody"/>
        <w:bidi w:val="0"/>
        <w:spacing w:lineRule="auto" w:line="288" w:before="0" w:after="200"/>
        <w:jc w:val="left"/>
        <w:rPr/>
      </w:pPr>
      <w:r>
        <w:rPr>
          <w:rFonts w:ascii="Arial;sans-serif" w:hAnsi="Arial;sans-serif"/>
          <w:b w:val="false"/>
          <w:color w:val="000000"/>
          <w:sz w:val="20"/>
        </w:rPr>
        <w:t>On March 31, 2026, our newly appointed President and Chief Executive Officer was awarded a grant of performance-based stock options (the “</w:t>
      </w:r>
      <w:r>
        <w:rPr>
          <w:rFonts w:ascii="Arial;sans-serif" w:hAnsi="Arial;sans-serif"/>
          <w:b/>
          <w:color w:val="000000"/>
          <w:sz w:val="20"/>
          <w:u w:val="single"/>
        </w:rPr>
        <w:t>Performance Options</w:t>
      </w:r>
      <w:r>
        <w:rPr>
          <w:color w:val="000000"/>
        </w:rPr>
        <w:t>”</w:t>
      </w:r>
      <w:r>
        <w:rPr>
          <w:rFonts w:ascii="Arial;sans-serif" w:hAnsi="Arial;sans-serif"/>
          <w:b w:val="false"/>
          <w:color w:val="000000"/>
          <w:sz w:val="20"/>
        </w:rPr>
        <w:t>). The grant is for up to 300,000 options with an exercise price per share of $13.65, equal to the closing price of a share of common stock on March 31, 2026, and a term of 10 years from date of grant. The final vesting percentage will be based on the achievement of a performance goal relating to the common stock during a three-year performance period that begins on date of grant and ends on the third anniversary of the grant (the “</w:t>
      </w:r>
      <w:r>
        <w:rPr>
          <w:rFonts w:ascii="Arial;sans-serif" w:hAnsi="Arial;sans-serif"/>
          <w:b/>
          <w:color w:val="000000"/>
          <w:sz w:val="20"/>
          <w:u w:val="single"/>
        </w:rPr>
        <w:t>PSO Performance Period</w:t>
      </w:r>
      <w:r>
        <w:rPr>
          <w:color w:val="000000"/>
        </w:rPr>
        <w:t>”</w:t>
      </w:r>
      <w:r>
        <w:rPr>
          <w:rFonts w:ascii="Arial;sans-serif" w:hAnsi="Arial;sans-serif"/>
          <w:b w:val="false"/>
          <w:color w:val="000000"/>
          <w:sz w:val="20"/>
        </w:rPr>
        <w:t>). The performance goal will provide for vesting based on the volume weighted average price (“</w:t>
      </w:r>
      <w:r>
        <w:rPr>
          <w:rFonts w:ascii="Arial;sans-serif" w:hAnsi="Arial;sans-serif"/>
          <w:b/>
          <w:color w:val="000000"/>
          <w:sz w:val="20"/>
          <w:u w:val="single"/>
        </w:rPr>
        <w:t>VWAP</w:t>
      </w:r>
      <w:r>
        <w:rPr>
          <w:color w:val="000000"/>
        </w:rPr>
        <w:t>”</w:t>
      </w:r>
      <w:r>
        <w:rPr>
          <w:rFonts w:ascii="Arial;sans-serif" w:hAnsi="Arial;sans-serif"/>
          <w:b w:val="false"/>
          <w:color w:val="000000"/>
          <w:sz w:val="20"/>
        </w:rPr>
        <w:t>) of our common stock over the final 20 consecutive trading days of the PSO Performance Period (“</w:t>
      </w:r>
      <w:r>
        <w:rPr>
          <w:rFonts w:ascii="Arial;sans-serif" w:hAnsi="Arial;sans-serif"/>
          <w:b/>
          <w:color w:val="000000"/>
          <w:sz w:val="20"/>
          <w:u w:val="single"/>
        </w:rPr>
        <w:t>20-Day VWAP</w:t>
      </w:r>
      <w:r>
        <w:rPr>
          <w:color w:val="000000"/>
        </w:rPr>
        <w:t>”</w:t>
      </w:r>
      <w:r>
        <w:rPr>
          <w:rFonts w:ascii="Arial;sans-serif" w:hAnsi="Arial;sans-serif"/>
          <w:b w:val="false"/>
          <w:color w:val="000000"/>
          <w:sz w:val="20"/>
        </w:rPr>
        <w:t>), with an aggregate of:</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(a)50,000 of the Performance Options eligible to vest if the 20-Day VWAP equals or exceeds $20.00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(b)100,000 of the Performance Options eligible to vest if the 20-Day VWAP equals or exceeds $25.00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(c)200,000 of the Performance Options eligible to vest if the 20-Day VWAP equals or exceeds $30.00 per share;</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(d)250,000 of the Performance Options eligible to vest if the 20-Day VWAP equals or exceeds $35.00 per share; or</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(e)300,000 of the Performance Options eligible to vest if the 20-Day VWAP equals or exceeds $40.00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vesting terms based on the 20-Day VWAP is a market condition. At grant date, we estimated the total grant-date fair value of these options that vest based on market conditions to be $1.5 million which will be recognized over the three-year service period. The Monte Carlo simulation model used the following estimates to determine this fair value at the grant date: expected volatility of 58%, a risk-free rate of return of 4.1%, an expected term of 6.5 years and an expected dividend yield of 0%. As of June 30, 2026, no forfeitures have been assumed for these Performance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w:t>
      </w:r>
    </w:p>
    <w:tbl>
      <w:tblPr>
        <w:tblW w:w="7196" w:type="dxa"/>
        <w:jc w:val="center"/>
        <w:tblInd w:w="0" w:type="dxa"/>
        <w:tblLayout w:type="fixed"/>
        <w:tblCellMar>
          <w:top w:w="28" w:type="dxa"/>
          <w:left w:w="28" w:type="dxa"/>
          <w:bottom w:w="28" w:type="dxa"/>
          <w:right w:w="28" w:type="dxa"/>
        </w:tblCellMar>
      </w:tblPr>
      <w:tblGrid>
        <w:gridCol w:w="1511"/>
        <w:gridCol w:w="1326"/>
        <w:gridCol w:w="1333"/>
        <w:gridCol w:w="109"/>
        <w:gridCol w:w="109"/>
        <w:gridCol w:w="109"/>
        <w:gridCol w:w="458"/>
        <w:gridCol w:w="458"/>
        <w:gridCol w:w="331"/>
        <w:gridCol w:w="109"/>
        <w:gridCol w:w="109"/>
        <w:gridCol w:w="109"/>
        <w:gridCol w:w="234"/>
        <w:gridCol w:w="719"/>
        <w:gridCol w:w="172"/>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7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149,288 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(104,036)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84,522 </w:t>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8502"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36"/>
        <w:gridCol w:w="538"/>
        <w:gridCol w:w="121"/>
        <w:gridCol w:w="121"/>
        <w:gridCol w:w="121"/>
        <w:gridCol w:w="121"/>
        <w:gridCol w:w="236"/>
        <w:gridCol w:w="420"/>
        <w:gridCol w:w="121"/>
        <w:gridCol w:w="109"/>
        <w:gridCol w:w="109"/>
        <w:gridCol w:w="109"/>
        <w:gridCol w:w="211"/>
        <w:gridCol w:w="646"/>
        <w:gridCol w:w="109"/>
        <w:gridCol w:w="109"/>
        <w:gridCol w:w="109"/>
        <w:gridCol w:w="109"/>
        <w:gridCol w:w="211"/>
        <w:gridCol w:w="48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16, 2026, our former CEO, CFO and the then current Division Presidents of our three operating segments received PSAs which vest based on market conditions, totaling 26,264 shares valued at $0.3 million as of the date of grant. The Monte Carlo simulation model used the following estimates to determine this fair value at the grant date: expected volatility of 55%, a risk-free rate of return of 3.7% and an expected term of 2.8 years. These PSAs vest on the third anniversary of the grant date at a vesting percentage that could range from 0% to 150% of the number of PSAs awarded on March 16, 2026. The final vesting percentage will be based on the achievement of certain performance metrics related to the enterprise value as of December 31, 2028, as determined by the Compensation Committee of our Board of Directors. On March 31, 2026, our former CEO separated from the Company. At June 30, 2026, 12,442 PSAs remain outstanding for the remaining four participants.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31, 2026, Richard N. Grant, Jr. stepped down as President and Chief Executive Officer of InTest. Mr. Grant had the following PSAs outstanding at his termination date: 17,652 PSAs granted at target on March 6, 2024 with a probability of 0% immediately before termination, 25,840 PSAs granted at target on March 17, 2025 with a probability of 100% immediately before termination and 13,822 PSAs granted at target on March 16, 2026 with a market vesting condition. Due to his separation, none of the performance criteria were achieved and therefore all 57,314 PSAs issued were forfeited. The adjustment for these awards was recorded during the three months ended March 31, 2026 in general and administrative expense in our Consolidated Statements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17, 2025, our former CEO, CFO and the then current Division Presidents of our three operating segments received PSAs totaling 49,098 shares valued at $0.4 million as of the date of grant. These PSAs vest on the third anniversary of the grant date at a vesting percentage that could range from 0% to 150% of the number of shares awarded on March 17, 2025. These awards do not contain market conditions. The final 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June 30, 2026, 18,951 PSAs remain outstanding for the remaining three participants and we have estimated that these PSAs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6, 2024, our former CEO, CFO and the then current Division Presidents of our three operating segments received PSAs totaling 33,539 shares valued at $0.4 million as of the date of grant. These PSAs vest on the third anniversary of the grant date at a vesting percentage that could range from 0% to 150% of the number of shares awarded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These awards do not contain market conditions. The final vesting percentage will be based on the achievement of certain performance metrics related to adjusted EBITDA for the year ended December 31, 2026, as determined by the Compensation Committee of our Board of Directors. At June 30, 2026, 12,945 PSAs remain outstanding and this probability estimate remains at 0% for the remaining three participants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January 16, 2024, the newly appointed president of our Process Technologies segment received PSAs totaling 8,231 shares valued at $0.1 million as of the date of grant. These PSAs vest on the third anniversary of the grant date at a vesting percentage that could range from 0% to 150% of the number of shares awarded on January 16, 2024. This award does not contain market conditions. The final vesting percentage will be based on the achievement of certain performance metrics including revenue and income from operations for the year ending December 31, 2026. At June 30, 2026, the probability estimate remains at 0%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8, 2023, our former CEO, CFO and certain other members of our senior management received PSAs, of which 16,605 shares remained as of December 31, 2025. These awards did not contain market conditions. The performance criteria was based on the achievement of a revenue metric for the year ending December 31, 2025. That revenue metric was not achieved as of December 31, 2025 and on March 4, 2026, these PSAs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PSAs:</w:t>
      </w:r>
    </w:p>
    <w:tbl>
      <w:tblPr>
        <w:tblW w:w="7135" w:type="dxa"/>
        <w:jc w:val="center"/>
        <w:tblInd w:w="0" w:type="dxa"/>
        <w:tblLayout w:type="fixed"/>
        <w:tblCellMar>
          <w:top w:w="28" w:type="dxa"/>
          <w:left w:w="28" w:type="dxa"/>
          <w:bottom w:w="28" w:type="dxa"/>
          <w:right w:w="28" w:type="dxa"/>
        </w:tblCellMar>
      </w:tblPr>
      <w:tblGrid>
        <w:gridCol w:w="1510"/>
        <w:gridCol w:w="1328"/>
        <w:gridCol w:w="1331"/>
        <w:gridCol w:w="109"/>
        <w:gridCol w:w="109"/>
        <w:gridCol w:w="109"/>
        <w:gridCol w:w="428"/>
        <w:gridCol w:w="428"/>
        <w:gridCol w:w="331"/>
        <w:gridCol w:w="109"/>
        <w:gridCol w:w="109"/>
        <w:gridCol w:w="109"/>
        <w:gridCol w:w="234"/>
        <w:gridCol w:w="719"/>
        <w:gridCol w:w="172"/>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Performance-based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100,224 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PSAs that vested in 2026 or 2025.</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issuing restricted stock units to certain employees in 2025. The following table summarizes the activity related to unvested restricted stock units:</w:t>
      </w:r>
    </w:p>
    <w:tbl>
      <w:tblPr>
        <w:tblW w:w="6875" w:type="dxa"/>
        <w:jc w:val="center"/>
        <w:tblInd w:w="0" w:type="dxa"/>
        <w:tblLayout w:type="fixed"/>
        <w:tblCellMar>
          <w:top w:w="28" w:type="dxa"/>
          <w:left w:w="28" w:type="dxa"/>
          <w:bottom w:w="28" w:type="dxa"/>
          <w:right w:w="28" w:type="dxa"/>
        </w:tblCellMar>
      </w:tblPr>
      <w:tblGrid>
        <w:gridCol w:w="1452"/>
        <w:gridCol w:w="1273"/>
        <w:gridCol w:w="1280"/>
        <w:gridCol w:w="109"/>
        <w:gridCol w:w="109"/>
        <w:gridCol w:w="109"/>
        <w:gridCol w:w="404"/>
        <w:gridCol w:w="406"/>
        <w:gridCol w:w="281"/>
        <w:gridCol w:w="109"/>
        <w:gridCol w:w="109"/>
        <w:gridCol w:w="109"/>
        <w:gridCol w:w="234"/>
        <w:gridCol w:w="719"/>
        <w:gridCol w:w="172"/>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0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59,174 </w:t>
            </w:r>
          </w:p>
        </w:tc>
        <w:tc>
          <w:tcPr>
            <w:tcW w:w="28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70,506 </w:t>
            </w:r>
          </w:p>
        </w:tc>
        <w:tc>
          <w:tcPr>
            <w:tcW w:w="2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units is summarized as follows:</w:t>
      </w:r>
    </w:p>
    <w:tbl>
      <w:tblPr>
        <w:tblW w:w="8266"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42"/>
        <w:gridCol w:w="465"/>
        <w:gridCol w:w="125"/>
        <w:gridCol w:w="125"/>
        <w:gridCol w:w="125"/>
        <w:gridCol w:w="125"/>
        <w:gridCol w:w="242"/>
        <w:gridCol w:w="465"/>
        <w:gridCol w:w="125"/>
        <w:gridCol w:w="109"/>
        <w:gridCol w:w="109"/>
        <w:gridCol w:w="109"/>
        <w:gridCol w:w="211"/>
        <w:gridCol w:w="481"/>
        <w:gridCol w:w="109"/>
        <w:gridCol w:w="109"/>
        <w:gridCol w:w="109"/>
        <w:gridCol w:w="109"/>
        <w:gridCol w:w="211"/>
        <w:gridCol w:w="406"/>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(14)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ESPP provides our eligible employees with an opportunity to purchase common stock through accumulated payroll deductions at a 15% discount from the closing market price on the purchase date. The discount is recorded as a 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8140" w:type="dxa"/>
        <w:jc w:val="center"/>
        <w:tblInd w:w="0" w:type="dxa"/>
        <w:tblLayout w:type="fixed"/>
        <w:tblCellMar>
          <w:top w:w="28" w:type="dxa"/>
          <w:left w:w="28" w:type="dxa"/>
          <w:bottom w:w="28" w:type="dxa"/>
          <w:right w:w="28" w:type="dxa"/>
        </w:tblCellMar>
      </w:tblPr>
      <w:tblGrid>
        <w:gridCol w:w="1280"/>
        <w:gridCol w:w="1127"/>
        <w:gridCol w:w="1132"/>
        <w:gridCol w:w="109"/>
        <w:gridCol w:w="109"/>
        <w:gridCol w:w="109"/>
        <w:gridCol w:w="250"/>
        <w:gridCol w:w="446"/>
        <w:gridCol w:w="129"/>
        <w:gridCol w:w="129"/>
        <w:gridCol w:w="129"/>
        <w:gridCol w:w="129"/>
        <w:gridCol w:w="250"/>
        <w:gridCol w:w="446"/>
        <w:gridCol w:w="129"/>
        <w:gridCol w:w="109"/>
        <w:gridCol w:w="109"/>
        <w:gridCol w:w="109"/>
        <w:gridCol w:w="232"/>
        <w:gridCol w:w="414"/>
        <w:gridCol w:w="114"/>
        <w:gridCol w:w="114"/>
        <w:gridCol w:w="114"/>
        <w:gridCol w:w="114"/>
        <w:gridCol w:w="232"/>
        <w:gridCol w:w="414"/>
        <w:gridCol w:w="162"/>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per share prices related to the ESPP purchases were as follows:</w:t>
      </w:r>
    </w:p>
    <w:tbl>
      <w:tblPr>
        <w:tblW w:w="5721" w:type="dxa"/>
        <w:jc w:val="center"/>
        <w:tblInd w:w="0" w:type="dxa"/>
        <w:tblLayout w:type="fixed"/>
        <w:tblCellMar>
          <w:top w:w="28" w:type="dxa"/>
          <w:left w:w="28" w:type="dxa"/>
          <w:bottom w:w="28" w:type="dxa"/>
          <w:right w:w="28" w:type="dxa"/>
        </w:tblCellMar>
      </w:tblPr>
      <w:tblGrid>
        <w:gridCol w:w="532"/>
        <w:gridCol w:w="467"/>
        <w:gridCol w:w="470"/>
        <w:gridCol w:w="109"/>
        <w:gridCol w:w="109"/>
        <w:gridCol w:w="109"/>
        <w:gridCol w:w="445"/>
        <w:gridCol w:w="1364"/>
        <w:gridCol w:w="230"/>
        <w:gridCol w:w="109"/>
        <w:gridCol w:w="109"/>
        <w:gridCol w:w="109"/>
        <w:gridCol w:w="325"/>
        <w:gridCol w:w="996"/>
        <w:gridCol w:w="238"/>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Closing Market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Purchase Price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(15)    RESTRUCTURING</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 Transition</w:t>
      </w:r>
    </w:p>
    <w:p>
      <w:pPr>
        <w:pStyle w:val="TextBody"/>
        <w:bidi w:val="0"/>
        <w:spacing w:lineRule="auto" w:line="288" w:before="0" w:after="240"/>
        <w:jc w:val="left"/>
        <w:rPr/>
      </w:pPr>
      <w:r>
        <w:rPr>
          <w:rFonts w:ascii="Arial;sans-serif" w:hAnsi="Arial;sans-serif"/>
          <w:b w:val="false"/>
          <w:color w:val="000000"/>
          <w:sz w:val="20"/>
        </w:rPr>
        <w:t>On March 31, 2026, Richard N. Grant, Jr. stepped down as President and Chief Executive Officer of InTest (the “</w:t>
      </w:r>
      <w:r>
        <w:rPr>
          <w:rFonts w:ascii="Arial;sans-serif" w:hAnsi="Arial;sans-serif"/>
          <w:b/>
          <w:color w:val="000000"/>
          <w:sz w:val="20"/>
          <w:u w:val="single"/>
        </w:rPr>
        <w:t>CEO Transition</w:t>
      </w:r>
      <w:r>
        <w:rPr>
          <w:color w:val="000000"/>
        </w:rPr>
        <w:t>”</w:t>
      </w:r>
      <w:r>
        <w:rPr>
          <w:rFonts w:ascii="Arial;sans-serif" w:hAnsi="Arial;sans-serif"/>
          <w:b w:val="false"/>
          <w:color w:val="000000"/>
          <w:sz w:val="20"/>
        </w:rPr>
        <w:t>). In connection with Mr. Grant’s separation from the Company, and in accordance with his offer letter dated July 24, 2020, Mr. Grant is entitled to severance equal to 12 months base salary paid in accordance with the Company’s customary payroll practices, which is expressly conditioned upon his execution and non-revocation of a confidential separation agreement and general release of claims in a form acceptable to the Company. Mr. Grant has executed both the separation agreement and general release and has not revoked.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 result of this action, we incurred severance, payroll tax and payroll related, professional fees and other costs through June 30, 2026 in our Corporate &amp; Other segment. We do not expect to incur additional costs for the remainder of 2026 or thereafter related to this action.</w:t>
      </w:r>
    </w:p>
    <w:p>
      <w:pPr>
        <w:pStyle w:val="TextBody"/>
        <w:bidi w:val="0"/>
        <w:spacing w:lineRule="auto" w:line="288" w:before="0" w:after="240"/>
        <w:jc w:val="left"/>
        <w:rPr>
          <w:rFonts w:ascii="Arial;sans-serif" w:hAnsi="Arial;sans-serif"/>
          <w:b/>
          <w:color w:val="000000"/>
          <w:sz w:val="20"/>
          <w:u w:val="single"/>
        </w:rPr>
      </w:pPr>
      <w:r>
        <w:rPr>
          <w:rFonts w:ascii="Arial;sans-serif" w:hAnsi="Arial;sans-serif"/>
          <w:b/>
          <w:color w:val="000000"/>
          <w:sz w:val="20"/>
          <w:u w:val="single"/>
        </w:rPr>
        <w:t>Environmental Transition</w:t>
      </w:r>
    </w:p>
    <w:p>
      <w:pPr>
        <w:pStyle w:val="TextBody"/>
        <w:bidi w:val="0"/>
        <w:spacing w:lineRule="auto" w:line="288" w:before="0" w:after="240"/>
        <w:jc w:val="left"/>
        <w:rPr/>
      </w:pPr>
      <w:r>
        <w:rPr>
          <w:rFonts w:ascii="Arial;sans-serif" w:hAnsi="Arial;sans-serif"/>
          <w:b w:val="false"/>
          <w:color w:val="000000"/>
          <w:sz w:val="20"/>
        </w:rPr>
        <w:t>On June 11, 2025, we transitioned leadership of our Environmental Technologies segment (the “</w:t>
      </w:r>
      <w:r>
        <w:rPr>
          <w:rFonts w:ascii="Arial;sans-serif" w:hAnsi="Arial;sans-serif"/>
          <w:b/>
          <w:color w:val="000000"/>
          <w:sz w:val="20"/>
          <w:u w:val="single"/>
        </w:rPr>
        <w:t>Environmental Transition</w:t>
      </w:r>
      <w:r>
        <w:rPr>
          <w:color w:val="000000"/>
        </w:rPr>
        <w:t>”</w:t>
      </w:r>
      <w:r>
        <w:rPr>
          <w:rFonts w:ascii="Arial;sans-serif" w:hAnsi="Arial;sans-serif"/>
          <w:b w:val="false"/>
          <w:color w:val="000000"/>
          <w:sz w:val="20"/>
        </w:rPr>
        <w:t>), appointing a new President. We incurred severance, payroll related and corporate legal costs for the outgoing President related to the Environment Transition. As of December 31, 2025, this action was completed.</w:t>
      </w:r>
    </w:p>
    <w:p>
      <w:pPr>
        <w:pStyle w:val="TextBody"/>
        <w:bidi w:val="0"/>
        <w:spacing w:lineRule="auto" w:line="288" w:before="0" w:after="240"/>
        <w:jc w:val="left"/>
        <w:rPr>
          <w:rFonts w:ascii="Arial;sans-serif" w:hAnsi="Arial;sans-serif"/>
          <w:b/>
          <w:color w:val="000000"/>
          <w:sz w:val="20"/>
          <w:u w:val="single"/>
        </w:rPr>
      </w:pPr>
      <w:r>
        <w:rPr>
          <w:rFonts w:ascii="Arial;sans-serif" w:hAnsi="Arial;sans-serif"/>
          <w:b/>
          <w:color w:val="000000"/>
          <w:sz w:val="20"/>
          <w:u w:val="single"/>
        </w:rPr>
        <w:t>Videology Consolidation</w:t>
      </w:r>
    </w:p>
    <w:p>
      <w:pPr>
        <w:pStyle w:val="TextBody"/>
        <w:bidi w:val="0"/>
        <w:spacing w:lineRule="auto" w:line="288" w:before="0" w:after="200"/>
        <w:jc w:val="left"/>
        <w:rPr/>
      </w:pPr>
      <w:r>
        <w:rPr>
          <w:rFonts w:ascii="Arial;sans-serif" w:hAnsi="Arial;sans-serif"/>
          <w:b w:val="false"/>
          <w:color w:val="000000"/>
          <w:sz w:val="20"/>
        </w:rPr>
        <w:t>On February 25, 2025, we notified employees of our wholly-owned subsidiary, Videology Imaging Corporation, of our intention to consolidate all operations in the Netherlands into our facility located in Mansfield, Massachusetts (the “</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resulted in the closure of the Netherlands facility and the termination of certain employees at that location. The Videology Consolidation of the Netherlands operations was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was substantially completed by the end of 2025, at which point we vacated the Netherlands facility. While we have substantially completed the Videology Consolidation, we expected to incur facility costs on the remaining operating lease until the earlier of lease termination or expiry of approximately $0.3 million.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expenses related to these actions as follows:</w:t>
      </w:r>
    </w:p>
    <w:tbl>
      <w:tblPr>
        <w:tblW w:w="9627" w:type="dxa"/>
        <w:jc w:val="center"/>
        <w:tblInd w:w="0" w:type="dxa"/>
        <w:tblLayout w:type="fixed"/>
        <w:tblCellMar>
          <w:top w:w="28" w:type="dxa"/>
          <w:left w:w="28" w:type="dxa"/>
          <w:bottom w:w="28" w:type="dxa"/>
          <w:right w:w="28" w:type="dxa"/>
        </w:tblCellMar>
      </w:tblPr>
      <w:tblGrid>
        <w:gridCol w:w="1795"/>
        <w:gridCol w:w="1582"/>
        <w:gridCol w:w="1588"/>
        <w:gridCol w:w="109"/>
        <w:gridCol w:w="109"/>
        <w:gridCol w:w="109"/>
        <w:gridCol w:w="232"/>
        <w:gridCol w:w="446"/>
        <w:gridCol w:w="119"/>
        <w:gridCol w:w="119"/>
        <w:gridCol w:w="119"/>
        <w:gridCol w:w="119"/>
        <w:gridCol w:w="232"/>
        <w:gridCol w:w="529"/>
        <w:gridCol w:w="119"/>
        <w:gridCol w:w="109"/>
        <w:gridCol w:w="109"/>
        <w:gridCol w:w="109"/>
        <w:gridCol w:w="211"/>
        <w:gridCol w:w="481"/>
        <w:gridCol w:w="109"/>
        <w:gridCol w:w="109"/>
        <w:gridCol w:w="109"/>
        <w:gridCol w:w="109"/>
        <w:gridCol w:w="211"/>
        <w:gridCol w:w="481"/>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CEO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CEO Transition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Videology Consolidation: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Process Technologies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Videology Consolidation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Environmental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Technologies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Transition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6786"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11"/>
        <w:gridCol w:w="481"/>
        <w:gridCol w:w="109"/>
        <w:gridCol w:w="109"/>
        <w:gridCol w:w="109"/>
        <w:gridCol w:w="109"/>
        <w:gridCol w:w="211"/>
        <w:gridCol w:w="48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June 30, 2026,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8805"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Employees of Alfamation</w:t>
      </w:r>
      <w:r>
        <w:rPr>
          <w:color w:val="000000"/>
        </w:rPr>
        <w:t xml:space="preserve">™ </w:t>
      </w:r>
      <w:r>
        <w:rPr>
          <w:rFonts w:ascii="Arial;sans-serif" w:hAnsi="Arial;sans-serif"/>
          <w:b w:val="false"/>
          <w:color w:val="000000"/>
          <w:sz w:val="20"/>
        </w:rPr>
        <w:t>in Italy are entitled to Trattamento di Fine Rapporto (“</w:t>
      </w:r>
      <w:r>
        <w:rPr>
          <w:rFonts w:ascii="Arial;sans-serif" w:hAnsi="Arial;sans-serif"/>
          <w:b/>
          <w:color w:val="000000"/>
          <w:sz w:val="20"/>
          <w:u w:val="single"/>
        </w:rPr>
        <w:t>TFR</w:t>
      </w:r>
      <w:r>
        <w:rPr>
          <w:color w:val="000000"/>
        </w:rPr>
        <w:t>”</w:t>
      </w:r>
      <w:r>
        <w:rPr>
          <w:rFonts w:ascii="Arial;sans-serif" w:hAnsi="Arial;sans-serif"/>
          <w:b w:val="false"/>
          <w:color w:val="000000"/>
          <w:sz w:val="20"/>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as a component of payroll-related costs in our Consolidated Statements of Operations and the required accrual is included in other liabilities on our Consolidated Balance Sheets. At June 30, 2026, the amount recorded in other liabilities for TFR was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SEGMENT AND GEOGRAPHIC AREA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results of operations by reportable segment as reconciled to consolidated net earnings (loss) before income tax expense (benefit): </w:t>
      </w:r>
    </w:p>
    <w:tbl>
      <w:tblPr>
        <w:tblW w:w="10205" w:type="dxa"/>
        <w:jc w:val="center"/>
        <w:tblInd w:w="0" w:type="dxa"/>
        <w:tblLayout w:type="fixed"/>
        <w:tblCellMar>
          <w:top w:w="28" w:type="dxa"/>
          <w:left w:w="28" w:type="dxa"/>
          <w:bottom w:w="28" w:type="dxa"/>
          <w:right w:w="28" w:type="dxa"/>
        </w:tblCellMar>
      </w:tblPr>
      <w:tblGrid>
        <w:gridCol w:w="1160"/>
        <w:gridCol w:w="866"/>
        <w:gridCol w:w="863"/>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30"/>
        <w:gridCol w:w="742"/>
        <w:gridCol w:w="118"/>
        <w:gridCol w:w="109"/>
        <w:gridCol w:w="109"/>
        <w:gridCol w:w="109"/>
        <w:gridCol w:w="226"/>
        <w:gridCol w:w="884"/>
        <w:gridCol w:w="170"/>
      </w:tblGrid>
      <w:tr>
        <w:trPr/>
        <w:tc>
          <w:tcPr>
            <w:tcW w:w="11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2026</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35,313 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(568)</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381</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3,594</w:t>
            </w: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(568)</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381</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(3,231)</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363</w:t>
            </w: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(568)</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381</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(3,345)</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249</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5"/>
        <w:gridCol w:w="722"/>
        <w:gridCol w:w="116"/>
        <w:gridCol w:w="109"/>
        <w:gridCol w:w="109"/>
        <w:gridCol w:w="109"/>
        <w:gridCol w:w="226"/>
        <w:gridCol w:w="884"/>
        <w:gridCol w:w="169"/>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7,215 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 xml:space="preserve">Division operating income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2,570</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(3,497)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(927)</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(3,153)</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(583)</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100"/>
        <w:jc w:val="center"/>
        <w:rPr/>
      </w:pPr>
      <w:r>
        <w:rPr/>
      </w:r>
    </w:p>
    <w:tbl>
      <w:tblPr>
        <w:tblW w:w="10205" w:type="dxa"/>
        <w:jc w:val="center"/>
        <w:tblInd w:w="0" w:type="dxa"/>
        <w:tblLayout w:type="fixed"/>
        <w:tblCellMar>
          <w:top w:w="28" w:type="dxa"/>
          <w:left w:w="28" w:type="dxa"/>
          <w:bottom w:w="28" w:type="dxa"/>
          <w:right w:w="28" w:type="dxa"/>
        </w:tblCellMar>
      </w:tblPr>
      <w:tblGrid>
        <w:gridCol w:w="1161"/>
        <w:gridCol w:w="866"/>
        <w:gridCol w:w="863"/>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30"/>
        <w:gridCol w:w="742"/>
        <w:gridCol w:w="118"/>
        <w:gridCol w:w="109"/>
        <w:gridCol w:w="109"/>
        <w:gridCol w:w="109"/>
        <w:gridCol w:w="226"/>
        <w:gridCol w:w="884"/>
        <w:gridCol w:w="169"/>
      </w:tblGrid>
      <w:tr>
        <w:trPr/>
        <w:tc>
          <w:tcPr>
            <w:tcW w:w="11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5"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14,170 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16,284 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69,199 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7,553</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(6,986)</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567</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651</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1,074</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(7,077)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476</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5"/>
        <w:gridCol w:w="722"/>
        <w:gridCol w:w="116"/>
        <w:gridCol w:w="109"/>
        <w:gridCol w:w="109"/>
        <w:gridCol w:w="109"/>
        <w:gridCol w:w="226"/>
        <w:gridCol w:w="884"/>
        <w:gridCol w:w="169"/>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13,483 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14,292 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54,767 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3,203</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(7,011)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(3,808)</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(6,575)</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(3,372)</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information about our geographic areas of operation. Revenue is based on the location to which the goods are shipped.</w:t>
      </w:r>
    </w:p>
    <w:tbl>
      <w:tblPr>
        <w:tblW w:w="6926"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59" w:type="dxa"/>
        <w:jc w:val="center"/>
        <w:tblInd w:w="0" w:type="dxa"/>
        <w:tblLayout w:type="fixed"/>
        <w:tblCellMar>
          <w:top w:w="28" w:type="dxa"/>
          <w:left w:w="28" w:type="dxa"/>
          <w:bottom w:w="28" w:type="dxa"/>
          <w:right w:w="28" w:type="dxa"/>
        </w:tblCellMar>
      </w:tblPr>
      <w:tblGrid>
        <w:gridCol w:w="878"/>
        <w:gridCol w:w="775"/>
        <w:gridCol w:w="777"/>
        <w:gridCol w:w="109"/>
        <w:gridCol w:w="109"/>
        <w:gridCol w:w="109"/>
        <w:gridCol w:w="211"/>
        <w:gridCol w:w="646"/>
        <w:gridCol w:w="109"/>
        <w:gridCol w:w="109"/>
        <w:gridCol w:w="109"/>
        <w:gridCol w:w="109"/>
        <w:gridCol w:w="293"/>
        <w:gridCol w:w="900"/>
        <w:gridCol w:w="216"/>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(18)    REVISION OF PREVIOUSLY ISSUED INTERIM FINANCIAL STATEMENTS</w:t>
      </w:r>
    </w:p>
    <w:p>
      <w:pPr>
        <w:pStyle w:val="TextBody"/>
        <w:bidi w:val="0"/>
        <w:spacing w:lineRule="auto" w:line="288" w:before="0" w:after="240"/>
        <w:jc w:val="left"/>
        <w:rPr/>
      </w:pPr>
      <w:r>
        <w:rPr>
          <w:rFonts w:ascii="Arial;sans-serif" w:hAnsi="Arial;sans-serif"/>
          <w:b w:val="false"/>
          <w:color w:val="000000"/>
          <w:sz w:val="20"/>
        </w:rPr>
        <w:t>As discussed in “</w:t>
      </w:r>
      <w:r>
        <w:rPr>
          <w:rFonts w:ascii="Arial;sans-serif" w:hAnsi="Arial;sans-serif"/>
          <w:b/>
          <w:color w:val="000000"/>
          <w:sz w:val="20"/>
        </w:rPr>
        <w:t>Note (2) Summary of Significant Accounting Policies; (b) Revision of Previously Issued Interim Financial Statements</w:t>
      </w:r>
      <w:r>
        <w:rPr>
          <w:rFonts w:ascii="Arial;sans-serif" w:hAnsi="Arial;sans-serif"/>
          <w:b w:val="false"/>
          <w:color w:val="000000"/>
          <w:sz w:val="20"/>
        </w:rPr>
        <w:t>,” in preparing the Consolidated Financial Statements as of and for the three and six months ended June 30, 2026, we identified errors in our previously issued interim financial statements related to the overstatement of ending inventory and understatement of cost of revenue at Alfamation</w:t>
      </w:r>
      <w:r>
        <w:rPr>
          <w:color w:val="000000"/>
        </w:rPr>
        <w:t>™</w:t>
      </w:r>
      <w:r>
        <w:rPr>
          <w:rFonts w:ascii="Arial;sans-serif" w:hAnsi="Arial;sans-serif"/>
          <w:b w:val="false"/>
          <w:color w:val="000000"/>
          <w:sz w:val="20"/>
        </w:rPr>
        <w:t>, which is a part of our Electronic Test segment, along with resultant changes to consolidated gross profit, income tax expense, net income, comprehensive earnings, retained earnings and earnings per share. The following tables reflect the impact of the revision to the specific line items presented in our previously issued interim financial statements.</w:t>
      </w:r>
    </w:p>
    <w:tbl>
      <w:tblPr>
        <w:tblW w:w="7958" w:type="dxa"/>
        <w:jc w:val="center"/>
        <w:tblInd w:w="0" w:type="dxa"/>
        <w:tblLayout w:type="fixed"/>
        <w:tblCellMar>
          <w:top w:w="28" w:type="dxa"/>
          <w:left w:w="28" w:type="dxa"/>
          <w:bottom w:w="28" w:type="dxa"/>
          <w:right w:w="28" w:type="dxa"/>
        </w:tblCellMar>
      </w:tblPr>
      <w:tblGrid>
        <w:gridCol w:w="1419"/>
        <w:gridCol w:w="1251"/>
        <w:gridCol w:w="1259"/>
        <w:gridCol w:w="109"/>
        <w:gridCol w:w="109"/>
        <w:gridCol w:w="109"/>
        <w:gridCol w:w="211"/>
        <w:gridCol w:w="751"/>
        <w:gridCol w:w="109"/>
        <w:gridCol w:w="109"/>
        <w:gridCol w:w="109"/>
        <w:gridCol w:w="109"/>
        <w:gridCol w:w="211"/>
        <w:gridCol w:w="541"/>
        <w:gridCol w:w="109"/>
        <w:gridCol w:w="109"/>
        <w:gridCol w:w="109"/>
        <w:gridCol w:w="109"/>
        <w:gridCol w:w="211"/>
        <w:gridCol w:w="751"/>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w:t>
              <w:br/>
              <w:t>Previously</w:t>
              <w:br/>
              <w:t>Reported</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Revision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8"/>
              </w:rPr>
              <w:br/>
            </w:r>
            <w:r>
              <w:rPr>
                <w:rFonts w:ascii="Arial;sans-serif" w:hAnsi="Arial;sans-serif"/>
                <w:b/>
                <w:color w:val="000000"/>
                <w:sz w:val="18"/>
              </w:rPr>
              <w:t>As</w:t>
              <w:br/>
              <w:t>Revised</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 and foreign 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7748" w:type="dxa"/>
        <w:jc w:val="center"/>
        <w:tblInd w:w="0" w:type="dxa"/>
        <w:tblLayout w:type="fixed"/>
        <w:tblCellMar>
          <w:top w:w="28" w:type="dxa"/>
          <w:left w:w="28" w:type="dxa"/>
          <w:bottom w:w="28" w:type="dxa"/>
          <w:right w:w="28" w:type="dxa"/>
        </w:tblCellMar>
      </w:tblPr>
      <w:tblGrid>
        <w:gridCol w:w="1326"/>
        <w:gridCol w:w="1164"/>
        <w:gridCol w:w="1169"/>
        <w:gridCol w:w="109"/>
        <w:gridCol w:w="109"/>
        <w:gridCol w:w="109"/>
        <w:gridCol w:w="211"/>
        <w:gridCol w:w="751"/>
        <w:gridCol w:w="109"/>
        <w:gridCol w:w="109"/>
        <w:gridCol w:w="109"/>
        <w:gridCol w:w="109"/>
        <w:gridCol w:w="211"/>
        <w:gridCol w:w="601"/>
        <w:gridCol w:w="109"/>
        <w:gridCol w:w="109"/>
        <w:gridCol w:w="109"/>
        <w:gridCol w:w="109"/>
        <w:gridCol w:w="211"/>
        <w:gridCol w:w="75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2026</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w:t>
              <w:br/>
              <w:t>Previously</w:t>
              <w:br/>
              <w:t>Reported</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Revision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8"/>
              </w:rPr>
              <w:br/>
            </w:r>
            <w:r>
              <w:rPr>
                <w:rFonts w:ascii="Arial;sans-serif" w:hAnsi="Arial;sans-serif"/>
                <w:b/>
                <w:color w:val="000000"/>
                <w:sz w:val="18"/>
              </w:rPr>
              <w:t>As</w:t>
              <w:br/>
              <w:t>Revised</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Consolidated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20" w:type="dxa"/>
        <w:jc w:val="center"/>
        <w:tblInd w:w="0" w:type="dxa"/>
        <w:tblLayout w:type="fixed"/>
        <w:tblCellMar>
          <w:top w:w="28" w:type="dxa"/>
          <w:left w:w="28" w:type="dxa"/>
          <w:bottom w:w="28" w:type="dxa"/>
          <w:right w:w="28" w:type="dxa"/>
        </w:tblCellMar>
      </w:tblPr>
      <w:tblGrid>
        <w:gridCol w:w="1752"/>
        <w:gridCol w:w="1543"/>
        <w:gridCol w:w="1549"/>
        <w:gridCol w:w="109"/>
        <w:gridCol w:w="109"/>
        <w:gridCol w:w="109"/>
        <w:gridCol w:w="268"/>
        <w:gridCol w:w="613"/>
        <w:gridCol w:w="140"/>
        <w:gridCol w:w="112"/>
        <w:gridCol w:w="112"/>
        <w:gridCol w:w="112"/>
        <w:gridCol w:w="217"/>
        <w:gridCol w:w="557"/>
        <w:gridCol w:w="112"/>
        <w:gridCol w:w="112"/>
        <w:gridCol w:w="112"/>
        <w:gridCol w:w="112"/>
        <w:gridCol w:w="217"/>
        <w:gridCol w:w="495"/>
        <w:gridCol w:w="158"/>
      </w:tblGrid>
      <w:tr>
        <w:trPr/>
        <w:tc>
          <w:tcPr>
            <w:tcW w:w="175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2026</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w:t>
              <w:br/>
              <w:t>Previously</w:t>
              <w:br/>
              <w:t>Reported</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Revision</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center"/>
              <w:rPr/>
            </w:pPr>
            <w:r>
              <w:rPr>
                <w:rFonts w:ascii="Arial;sans-serif" w:hAnsi="Arial;sans-serif"/>
                <w:b/>
                <w:sz w:val="18"/>
              </w:rPr>
              <w:br/>
            </w:r>
            <w:r>
              <w:rPr>
                <w:rFonts w:ascii="Arial;sans-serif" w:hAnsi="Arial;sans-serif"/>
                <w:b/>
                <w:color w:val="000000"/>
                <w:sz w:val="18"/>
              </w:rPr>
              <w:t>As</w:t>
              <w:br/>
              <w:t>Revised</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Consolidated Statement of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35" w:type="dxa"/>
        <w:jc w:val="center"/>
        <w:tblInd w:w="0" w:type="dxa"/>
        <w:tblLayout w:type="fixed"/>
        <w:tblCellMar>
          <w:top w:w="28" w:type="dxa"/>
          <w:left w:w="28" w:type="dxa"/>
          <w:bottom w:w="28" w:type="dxa"/>
          <w:right w:w="28" w:type="dxa"/>
        </w:tblCellMar>
      </w:tblPr>
      <w:tblGrid>
        <w:gridCol w:w="1659"/>
        <w:gridCol w:w="1460"/>
        <w:gridCol w:w="1470"/>
        <w:gridCol w:w="109"/>
        <w:gridCol w:w="109"/>
        <w:gridCol w:w="109"/>
        <w:gridCol w:w="427"/>
        <w:gridCol w:w="429"/>
        <w:gridCol w:w="341"/>
        <w:gridCol w:w="109"/>
        <w:gridCol w:w="109"/>
        <w:gridCol w:w="109"/>
        <w:gridCol w:w="285"/>
        <w:gridCol w:w="285"/>
        <w:gridCol w:w="286"/>
        <w:gridCol w:w="109"/>
        <w:gridCol w:w="109"/>
        <w:gridCol w:w="109"/>
        <w:gridCol w:w="427"/>
        <w:gridCol w:w="429"/>
        <w:gridCol w:w="356"/>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w:t>
              <w:br/>
              <w:t>Previously</w:t>
              <w:br/>
              <w:t>Reported</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Revision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pPr>
            <w:r>
              <w:rPr>
                <w:rFonts w:ascii="Arial;sans-serif" w:hAnsi="Arial;sans-serif"/>
                <w:b/>
                <w:sz w:val="18"/>
              </w:rPr>
              <w:br/>
            </w:r>
            <w:r>
              <w:rPr>
                <w:rFonts w:ascii="Arial;sans-serif" w:hAnsi="Arial;sans-serif"/>
                <w:b/>
                <w:color w:val="000000"/>
                <w:sz w:val="18"/>
              </w:rPr>
              <w:t>As</w:t>
              <w:br/>
              <w:t>Revised</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Consolidated Statement of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43,349 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42,743 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103,863 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36" w:type="dxa"/>
        <w:jc w:val="center"/>
        <w:tblInd w:w="0" w:type="dxa"/>
        <w:tblLayout w:type="fixed"/>
        <w:tblCellMar>
          <w:top w:w="28" w:type="dxa"/>
          <w:left w:w="28" w:type="dxa"/>
          <w:bottom w:w="28" w:type="dxa"/>
          <w:right w:w="28" w:type="dxa"/>
        </w:tblCellMar>
      </w:tblPr>
      <w:tblGrid>
        <w:gridCol w:w="1756"/>
        <w:gridCol w:w="1547"/>
        <w:gridCol w:w="1557"/>
        <w:gridCol w:w="109"/>
        <w:gridCol w:w="109"/>
        <w:gridCol w:w="109"/>
        <w:gridCol w:w="268"/>
        <w:gridCol w:w="613"/>
        <w:gridCol w:w="140"/>
        <w:gridCol w:w="112"/>
        <w:gridCol w:w="112"/>
        <w:gridCol w:w="112"/>
        <w:gridCol w:w="217"/>
        <w:gridCol w:w="557"/>
        <w:gridCol w:w="112"/>
        <w:gridCol w:w="112"/>
        <w:gridCol w:w="112"/>
        <w:gridCol w:w="112"/>
        <w:gridCol w:w="217"/>
        <w:gridCol w:w="495"/>
        <w:gridCol w:w="158"/>
      </w:tblGrid>
      <w:tr>
        <w:trPr/>
        <w:tc>
          <w:tcPr>
            <w:tcW w:w="175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2026</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w:t>
              <w:br/>
              <w:t>Previously</w:t>
              <w:br/>
              <w:t>Reported</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Revision</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180"/>
              <w:jc w:val="center"/>
              <w:rPr/>
            </w:pPr>
            <w:r>
              <w:rPr>
                <w:rFonts w:ascii="Arial;sans-serif" w:hAnsi="Arial;sans-serif"/>
                <w:b/>
                <w:sz w:val="18"/>
              </w:rPr>
              <w:br/>
            </w:r>
            <w:r>
              <w:rPr>
                <w:rFonts w:ascii="Arial;sans-serif" w:hAnsi="Arial;sans-serif"/>
                <w:b/>
                <w:color w:val="000000"/>
                <w:sz w:val="18"/>
              </w:rPr>
              <w:t>As</w:t>
              <w:br/>
              <w:t>Revised</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Consolidated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Domestic and foreign 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76" w:before="0" w:after="200"/>
        <w:ind w:left="0" w:right="0" w:hanging="720"/>
        <w:jc w:val="left"/>
        <w:rPr>
          <w:rFonts w:ascii="Arial;sans-serif" w:hAnsi="Arial;sans-serif"/>
          <w:b/>
          <w:color w:val="C02026"/>
          <w:sz w:val="20"/>
        </w:rPr>
      </w:pPr>
      <w:r>
        <w:rPr>
          <w:rFonts w:ascii="Arial;sans-serif" w:hAnsi="Arial;sans-serif"/>
          <w:b/>
          <w:color w:val="C02026"/>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Risk Factors and Forward-Looking Statements</w:t>
      </w:r>
    </w:p>
    <w:p>
      <w:pPr>
        <w:pStyle w:val="TextBody"/>
        <w:bidi w:val="0"/>
        <w:spacing w:lineRule="auto" w:line="288" w:before="0" w:after="200"/>
        <w:jc w:val="left"/>
        <w:rPr/>
      </w:pPr>
      <w:r>
        <w:rPr>
          <w:rFonts w:ascii="Arial;sans-serif" w:hAnsi="Arial;sans-serif"/>
          <w:b w:val="false"/>
          <w:color w:val="000000"/>
          <w:sz w:val="20"/>
        </w:rPr>
        <w:t>In addition to historical information, this Quarterly Report on Form 10-Q for the period ended June 30, 2026 (this “</w:t>
      </w:r>
      <w:r>
        <w:rPr>
          <w:rFonts w:ascii="Arial;sans-serif" w:hAnsi="Arial;sans-serif"/>
          <w:b/>
          <w:color w:val="000000"/>
          <w:sz w:val="20"/>
          <w:u w:val="single"/>
        </w:rPr>
        <w:t>Report</w:t>
      </w:r>
      <w:r>
        <w:rPr>
          <w:color w:val="000000"/>
        </w:rPr>
        <w:t>”</w:t>
      </w:r>
      <w:r>
        <w:rPr>
          <w:rFonts w:ascii="Arial;sans-serif" w:hAnsi="Arial;sans-serif"/>
          <w:b w:val="false"/>
          <w:color w:val="000000"/>
          <w:sz w:val="20"/>
        </w:rPr>
        <w:t>), including this management’s discussion and analysis (“</w:t>
      </w:r>
      <w:r>
        <w:rPr>
          <w:rFonts w:ascii="Arial;sans-serif" w:hAnsi="Arial;sans-serif"/>
          <w:b/>
          <w:color w:val="000000"/>
          <w:sz w:val="20"/>
          <w:u w:val="single"/>
        </w:rPr>
        <w:t>MD&amp;A</w:t>
      </w:r>
      <w:r>
        <w:rPr>
          <w:color w:val="000000"/>
        </w:rPr>
        <w:t>”</w:t>
      </w:r>
      <w:r>
        <w:rPr>
          <w:rFonts w:ascii="Arial;sans-serif" w:hAnsi="Arial;sans-serif"/>
          <w:b w:val="false"/>
          <w:color w:val="000000"/>
          <w:sz w:val="20"/>
        </w:rPr>
        <w:t>),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“continue,” “expect,” “may,” “could,” “will,” “plans,” “depending,” “seeking,” “anticipates,” “goal,” “objective,” “target,” “estimates,” “future,” “strategy,” “intended,”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effectively remediate the material weaknesses in our internal control over financial reporting that we have identified or our failure to develop and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U.S. and/or foreign trade policy and/or general economic conditions both domestically and globally;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other risk factors included in “</w:t>
      </w:r>
      <w:r>
        <w:rPr>
          <w:rFonts w:ascii="Arial;sans-serif" w:hAnsi="Arial;sans-serif"/>
          <w:b/>
          <w:color w:val="000000"/>
          <w:sz w:val="20"/>
        </w:rPr>
        <w:t>Part II; Item 1A. Risk Factor</w:t>
      </w:r>
      <w:r>
        <w:rPr>
          <w:rFonts w:ascii="Arial;sans-serif" w:hAnsi="Arial;sans-serif"/>
          <w:b w:val="false"/>
          <w:color w:val="000000"/>
          <w:sz w:val="20"/>
        </w:rPr>
        <w:t>s” in this Report and in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our Annual Report on Form 10-K for the year ended December 31, 2025 (the “</w:t>
      </w:r>
      <w:r>
        <w:rPr>
          <w:rFonts w:ascii="Arial;sans-serif" w:hAnsi="Arial;sans-serif"/>
          <w:b/>
          <w:color w:val="000000"/>
          <w:sz w:val="20"/>
          <w:u w:val="single"/>
        </w:rPr>
        <w:t>2025 Form 10-K</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connection with the preparation of this Report’s financial statements, we identified errors in our previously issued financial statements. We evaluated the impact of the errors and concluded they were not material, individually or in the aggregate, to any previously issued interim or annual consolidated financial statements. We have reflected these corrections in the Consolidated Financial Statements for the three months ended March 31, 2026 included in this Report. The figures in this MD&amp;A have been similarly revised, where applicable, to reflect the impact of such corrections.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left"/>
        <w:rPr/>
      </w:pPr>
      <w:r>
        <w:rPr>
          <w:color w:val="000000"/>
        </w:rPr>
        <w:t>“</w:t>
      </w:r>
      <w:r>
        <w:rPr>
          <w:rFonts w:ascii="Arial;sans-serif" w:hAnsi="Arial;sans-serif"/>
          <w:b/>
          <w:color w:val="000000"/>
          <w:sz w:val="20"/>
        </w:rPr>
        <w:t>Note (2) Summary of Significant Accounting Policies; (b) Revision of Previously Issued Interim Financial Statements</w:t>
      </w:r>
      <w:r>
        <w:rPr>
          <w:rFonts w:ascii="Arial;sans-serif" w:hAnsi="Arial;sans-serif"/>
          <w:b w:val="false"/>
          <w:color w:val="000000"/>
          <w:sz w:val="20"/>
        </w:rPr>
        <w:t>,” and “</w:t>
      </w:r>
      <w:r>
        <w:rPr>
          <w:rFonts w:ascii="Arial;sans-serif" w:hAnsi="Arial;sans-serif"/>
          <w:b/>
          <w:color w:val="000000"/>
          <w:sz w:val="20"/>
        </w:rPr>
        <w:t>Note (18) Revision of Previously Issued Interim Financial Statements</w:t>
      </w:r>
      <w:r>
        <w:rPr>
          <w:rFonts w:ascii="Arial;sans-serif" w:hAnsi="Arial;sans-serif"/>
          <w:b w:val="false"/>
          <w:color w:val="000000"/>
          <w:sz w:val="20"/>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0" w:after="200"/>
        <w:jc w:val="left"/>
        <w:rPr/>
      </w:pPr>
      <w:r>
        <w:rPr>
          <w:rFonts w:ascii="Arial;sans-serif" w:hAnsi="Arial;sans-serif"/>
          <w:b w:val="false"/>
          <w:color w:val="000000"/>
          <w:sz w:val="20"/>
        </w:rPr>
        <w:t>This MD&amp;A should be read in conjunction with our accompanying Consolidated Financial Statements. In addition, please refer to the discussion of our business and markets contained in “</w:t>
      </w:r>
      <w:r>
        <w:rPr>
          <w:rFonts w:ascii="Arial;sans-serif" w:hAnsi="Arial;sans-serif"/>
          <w:b/>
          <w:color w:val="000000"/>
          <w:sz w:val="20"/>
        </w:rPr>
        <w:t>Part I; Item 1. Business</w:t>
      </w:r>
      <w:r>
        <w:rPr>
          <w:rFonts w:ascii="Arial;sans-serif" w:hAnsi="Arial;sans-serif"/>
          <w:b w:val="false"/>
          <w:color w:val="000000"/>
          <w:sz w:val="20"/>
        </w:rPr>
        <w:t>,” of our 2025 Form 10-K.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a global supplier of innovative test and process technology solutions for use in manufacturing and testing across a wide range of markets including Semi, Auto/EV, Defense/Aerospace, Industrial, Life Sciences, Safety/Security and Other. We operate our business worldwide, sell our products both domestically and internationally and manufacture our products in the U.S., Canada, Italy and began limited manufacturing in Malaysia in the fourth quarter of 2025. Marketing and support activities are conducted worldwide from our facilities in the U.S., Canada, Italy, Germany, Singapore, Malaysia, and the U.K.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Markets</w:t>
      </w:r>
      <w:r>
        <w:rPr>
          <w:color w:val="000000"/>
        </w:rPr>
        <w:t xml:space="preserve">” </w:t>
      </w:r>
      <w:r>
        <w:rPr>
          <w:rFonts w:ascii="Arial;sans-serif" w:hAnsi="Arial;sans-serif"/>
          <w:b w:val="false"/>
          <w:color w:val="000000"/>
          <w:sz w:val="20"/>
        </w:rPr>
        <w:t>of our 2025 Form 10-K, we are focused on specific target markets which include Auto/EV, Defense/Aerospace, Industrial, Life Sciences, Safety/Security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integrated circuits (“</w:t>
      </w:r>
      <w:r>
        <w:rPr>
          <w:rFonts w:ascii="Arial;sans-serif" w:hAnsi="Arial;sans-serif"/>
          <w:b/>
          <w:color w:val="000000"/>
          <w:sz w:val="20"/>
          <w:u w:val="single"/>
        </w:rPr>
        <w:t>ICs</w:t>
      </w:r>
      <w:r>
        <w:rPr>
          <w:color w:val="000000"/>
        </w:rPr>
        <w:t>”</w:t>
      </w:r>
      <w:r>
        <w:rPr>
          <w:rFonts w:ascii="Arial;sans-serif" w:hAnsi="Arial;sans-serif"/>
          <w:b w:val="false"/>
          <w:color w:val="000000"/>
          <w:sz w:val="20"/>
        </w:rPr>
        <w:t>)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Strategy</w:t>
      </w:r>
      <w:r>
        <w:rPr>
          <w:color w:val="000000"/>
        </w:rPr>
        <w:t xml:space="preserve">” </w:t>
      </w:r>
      <w:r>
        <w:rPr>
          <w:rFonts w:ascii="Arial;sans-serif" w:hAnsi="Arial;sans-serif"/>
          <w:b w:val="false"/>
          <w:color w:val="000000"/>
          <w:sz w:val="20"/>
        </w:rPr>
        <w:t>of our 2025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Auto/EV, Defense/Aerospace, Industrial, Life Sciences and Safety/Security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Known Trends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Debt Covenants</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1; Financial Statements; Notes to Consolidated Financial Statements; Note (9) Debt,</w:t>
      </w:r>
      <w:r>
        <w:rPr>
          <w:color w:val="000000"/>
        </w:rPr>
        <w:t xml:space="preserve">” </w:t>
      </w:r>
      <w:r>
        <w:rPr>
          <w:rFonts w:ascii="Arial;sans-serif" w:hAnsi="Arial;sans-serif"/>
          <w:b w:val="false"/>
          <w:color w:val="000000"/>
          <w:sz w:val="20"/>
        </w:rPr>
        <w:t>our Loan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xml:space="preserve">) contains financial covenants, including a fixed charge coverage ratio of not less than 1.25 to 1.0. The fixed charge coverage ratio is calculated over the trailing twelve months, so the net loss reported in the first, second and third quarters impacts our ability to meet this covenant in future periods notwithstanding our strong cash position. On August 5, 2025, we executed the Sixth Amendment to the Loan Agreement, which formally waives the fixed charge coverage ratio financial covenant for periods ending June 30, 2025 through and including March 31, 2026. On May 4, 2026, we executed the Seventh Amendment to the Loan Agreement, effective as of April 30, 2026, to extend our ability to draw on the Term Note through August 28, 2026.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waiver has expired and at June 30, 2026 we had total debt of $1.8 million with M&amp;T and were in compliance with all covenants included in the Loan Agreement. </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Tariffs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inherent uncertainties in estimating future customer demand and increase our material costs, any of which could negatively impacting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Although a cease-fire was declared in October 2025, hostilities continue. On February 28, 2026, the U.S. and Israel launched a coordinated military operation against Iran, and Iran has responded with attacks affecting certain Persian Gulf states as well as Israel. It is unclear when these continuing conflicts will end and these conflicts are likely to cause regional instability that could materially adversely affect global trade, regional economies and the global economy, which could materially adversely affect our financial condition and results of operations.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conflicts with Hamas and in Iran began and have been advised that their operations are currently uninterrupted. We maintain a two-to-three month safety stock on these items. As of June 30, 2026,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TextBody"/>
        <w:bidi w:val="0"/>
        <w:spacing w:lineRule="auto" w:line="288" w:before="0" w:after="200"/>
        <w:jc w:val="left"/>
        <w:rPr/>
      </w:pPr>
      <w:r>
        <w:rPr>
          <w:rFonts w:ascii="Arial;sans-serif" w:hAnsi="Arial;sans-serif"/>
          <w:b w:val="false"/>
          <w:color w:val="000000"/>
          <w:sz w:val="20"/>
        </w:rPr>
        <w:t>Acculogic Inc.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has historically purchased certain parts from a key sole-source supplier in Belarus, which is bordered by Russia to the east and northeast and Ukraine to the south. As a result of the ongoing war between Russia and Ukraine, in August 2024, the United States, Canada and the European Union added additional sanctions on Belarus, which included adding this supplier to a list of prohibited entities. We have not received materials from this supplier since the issuance of Executive Order 14038. During the first half of 2025, the majority of our remaining supply of these materials was depleted.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qualified a new supplier for these materials in early 2025 and have a supply of these materials on hand to support new production. Our first system incorporating these new materials shipped to one of our customers at the end of the second quarter 2025.</w:t>
      </w:r>
    </w:p>
    <w:p>
      <w:pPr>
        <w:pStyle w:val="TextBody"/>
        <w:bidi w:val="0"/>
        <w:spacing w:lineRule="auto" w:line="288" w:before="0" w:after="240"/>
        <w:jc w:val="left"/>
        <w:rPr/>
      </w:pPr>
      <w:r>
        <w:rPr>
          <w:rFonts w:ascii="Arial;sans-serif" w:hAnsi="Arial;sans-serif"/>
          <w:b w:val="false"/>
          <w:color w:val="000000"/>
          <w:sz w:val="20"/>
        </w:rPr>
        <w:t>Additionally, we have applied to the U.S. Department of Treasury’s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and Global Affairs Canada for permission to purchase materials from the Belarus supplier to support repairs and warranty claims for the existing units already in service with our customers. In December 2025, we received a license from OFAC allowing us to purchase a specified dollar amount of these parts from this supplier through June 30, 2026. Late in the first quarter of 2026, we determined that our license needed to be amended to include a director of this supplier who was also listed individually as a prohibited party by the U.S. government. We have requested this amendment as well as an extension of the license to allow purchases through the end of 2027. There can be no assurance that these amendments will be approved by OFAC or what the timing of any such approval would be. In June 2026, we received a permit from Global Affairs Canada. This permit is currently valid until June 15, 2028. However, because of the OFAC license expiration on June 30, 2026, we are still not able to enter into transactions with the Belarusian supplier until such time as the OFAC license is amended and extended.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significant portion of the additional purchases from the Belarus supplier are intended to support spare parts used for repairs and warranty claims for the existing units already in service with our customers. Those specific parts from the new supplier are not compatible with those existing units. There can be no assurance that we will be granted the amended and extended license by OFAC in a timely manner or at all, or that if granted a license by OFAC that such supplier in Belarus will be willing or able to provide these parts on reasonable commercial terms or at all.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This occurred in the three months ended June 30, 2026, where we had certain material components perform differently than previous units, forcing us to diagnose, re-engineer and rebuild our systems to meet customer specifications, and in another case, a shipment of components arrived 45 days late resulting in a shift of our product delivery date. The actions we have taken and are continuing to take to mitigate these risks include qualifying new vendors as alternate sources in our supply chain, increasing our inventory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of our 2025 Form 10-K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0" w:after="200"/>
        <w:jc w:val="left"/>
        <w:rPr/>
      </w:pPr>
      <w:r>
        <w:rPr>
          <w:rFonts w:ascii="Arial;sans-serif" w:hAnsi="Arial;sans-serif"/>
          <w:b w:val="false"/>
          <w:color w:val="000000"/>
          <w:sz w:val="20"/>
        </w:rPr>
        <w:t>The preparation of consolidated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xml:space="preserve">)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 three months ended March 31, 2026, we granted performance-based restricted stock awards and performance-based stock options, both of which contain market conditions. These awards with market conditions have not been traditionally awarded by the Company and their grant date fair values were determined using a Monte Carlo simulation model. These Monte Carlo simulation models use estimates for expected volatility, risk-free rate of return, expected term and expected dividend yield and also incorporates the probability of achieving the market conditions. Unlike our other awards, compensation costs for awards with market conditions are recognized regardless of whether the market conditions are satisfied, provided that the requisite service is rendered.</w:t>
      </w:r>
    </w:p>
    <w:p>
      <w:pPr>
        <w:pStyle w:val="TextBody"/>
        <w:bidi w:val="0"/>
        <w:spacing w:lineRule="auto" w:line="288" w:before="0" w:after="240"/>
        <w:jc w:val="left"/>
        <w:rPr/>
      </w:pPr>
      <w:r>
        <w:rPr>
          <w:rFonts w:ascii="Arial;sans-serif" w:hAnsi="Arial;sans-serif"/>
          <w:b w:val="false"/>
          <w:color w:val="000000"/>
          <w:sz w:val="20"/>
        </w:rPr>
        <w:t>As of June 30, 2026, except for the estimates considered for our awards with market conditions, there have been no significant changes to the accounting estimates that we have deemed critical. Our critical accounting estimates are more fully described in “</w:t>
      </w:r>
      <w:r>
        <w:rPr>
          <w:rFonts w:ascii="Arial;sans-serif" w:hAnsi="Arial;sans-serif"/>
          <w:b/>
          <w:color w:val="000000"/>
          <w:sz w:val="20"/>
        </w:rPr>
        <w:t>Part I; Item 7.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200"/>
        <w:jc w:val="left"/>
        <w:rPr/>
      </w:pPr>
      <w:r>
        <w:rPr>
          <w:rFonts w:ascii="Arial;sans-serif" w:hAnsi="Arial;sans-serif"/>
          <w:b w:val="false"/>
          <w:color w:val="000000"/>
          <w:sz w:val="20"/>
        </w:rPr>
        <w:t>The results of operations for our three operating segments are generally affected by the same factors described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The discussion and analysis that follows, therefore, is presented on a consolidated basis and includes discussion of factors unique to a particular operating segment where significant to an understanding of that segment.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June 30, 2026, Compared to Three Months Ended June 30, 2025</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22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2776" w:type="dxa"/>
        <w:jc w:val="center"/>
        <w:tblInd w:w="0" w:type="dxa"/>
        <w:tblLayout w:type="fixed"/>
        <w:tblCellMar>
          <w:top w:w="28" w:type="dxa"/>
          <w:left w:w="28" w:type="dxa"/>
          <w:bottom w:w="28" w:type="dxa"/>
          <w:right w:w="28" w:type="dxa"/>
        </w:tblCellMar>
      </w:tblPr>
      <w:tblGrid>
        <w:gridCol w:w="399"/>
        <w:gridCol w:w="258"/>
        <w:gridCol w:w="259"/>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77"/>
        <w:gridCol w:w="279"/>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40"/>
        <w:gridCol w:w="241"/>
        <w:gridCol w:w="301"/>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3" w:type="dxa"/>
            <w:gridSpan w:val="5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 </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35,313 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28,130 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33,886 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revenue for the second quarter increased due primarily to growth in Auto/EV, as the electronics content of modern vehicles continues to increase, and likewise the testing of those components offset partially by the decreases primarily in Semi. Sequentially, revenue increased compared to the trailing first quarter, due primarily to increases in Auto/EV and Industrial, offset partially by sequential decreases primarily in Defense/Aerospace, Life Sciences and Semi.</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2596" w:type="dxa"/>
        <w:jc w:val="center"/>
        <w:tblInd w:w="0" w:type="dxa"/>
        <w:tblLayout w:type="fixed"/>
        <w:tblCellMar>
          <w:top w:w="28" w:type="dxa"/>
          <w:left w:w="28" w:type="dxa"/>
          <w:bottom w:w="28" w:type="dxa"/>
          <w:right w:w="28" w:type="dxa"/>
        </w:tblCellMar>
      </w:tblPr>
      <w:tblGrid>
        <w:gridCol w:w="407"/>
        <w:gridCol w:w="252"/>
        <w:gridCol w:w="257"/>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39"/>
        <w:gridCol w:w="242"/>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39"/>
        <w:gridCol w:w="242"/>
        <w:gridCol w:w="301"/>
      </w:tblGrid>
      <w:tr>
        <w:trPr/>
        <w:tc>
          <w:tcPr>
            <w:tcW w:w="4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3" w:type="dxa"/>
            <w:gridSpan w:val="57"/>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28,871 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(2,914)</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second quarter increased primarily in Semi and Defense/Aerospace partially offset by declines primarily in Auto/EV and Life Sciences. Sequentially, orders decreased primarily in Auto/EV and Defense/Aerospace, partially offset primarily by increases in Semi and Other.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June 30, 2026, our backlog of unfilled orders for all products was $45.4 million compared to $37.9 million at June 30, 2025, and $53.9 million at December 31, 2025.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52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decreased 210 basis points in the three months ended June 30, 2026, compared to the same prior year period due to changes in product mix.</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14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three months ended June 30, 2026, increased compared to the prior year period due to increased commissions and payroll related merit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451"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three months ended June 30, 2026, increased compared to the prior year period due primarily to increases in outside service costs and payroll related merit increases.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401"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three months ended June 30, 2026, increased compared to the prior year period due primarily to increases in payroll related merit increases and increased stock based compensation costs as a result of the June 17, 2026 equity modification for awards granted to independent directors in March 2026, offset partially by a decrease resulting from the change in fair value of the contingent consideration.</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821"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481"/>
        <w:gridCol w:w="286"/>
        <w:gridCol w:w="109"/>
        <w:gridCol w:w="109"/>
        <w:gridCol w:w="109"/>
        <w:gridCol w:w="211"/>
        <w:gridCol w:w="481"/>
        <w:gridCol w:w="286"/>
        <w:gridCol w:w="109"/>
        <w:gridCol w:w="109"/>
        <w:gridCol w:w="109"/>
        <w:gridCol w:w="211"/>
        <w:gridCol w:w="541"/>
        <w:gridCol w:w="109"/>
        <w:gridCol w:w="109"/>
        <w:gridCol w:w="109"/>
        <w:gridCol w:w="109"/>
        <w:gridCol w:w="299"/>
        <w:gridCol w:w="30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Amortization of acquired intangible assets for the three months ended June 30, 2026, decreased compared to the prior year period due to the declining pattern of benefit for the assets and the May 2026 completion of amortization of intangible assets from the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acquisition, offset partially by the impact of changes in foreign exchange rates.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725"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376"/>
        <w:gridCol w:w="286"/>
        <w:gridCol w:w="109"/>
        <w:gridCol w:w="109"/>
        <w:gridCol w:w="109"/>
        <w:gridCol w:w="211"/>
        <w:gridCol w:w="481"/>
        <w:gridCol w:w="286"/>
        <w:gridCol w:w="109"/>
        <w:gridCol w:w="109"/>
        <w:gridCol w:w="109"/>
        <w:gridCol w:w="211"/>
        <w:gridCol w:w="541"/>
        <w:gridCol w:w="109"/>
        <w:gridCol w:w="109"/>
        <w:gridCol w:w="109"/>
        <w:gridCol w:w="109"/>
        <w:gridCol w:w="241"/>
        <w:gridCol w:w="241"/>
        <w:gridCol w:w="343"/>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(86.1)%</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three months ended June 30, 2026, are the residual facility related costs from the Videology Consolidation of the Netherlands operations into our US operations in Mansfield, MA. The restructuring costs for the three months ended June 30, 2025 represent severance and retention accruals along with the payroll-related costs recognized for the Videology Consolidation as well as costs related to the leadership transition in our Environmental Technologies division. See “</w:t>
      </w:r>
      <w:r>
        <w:rPr>
          <w:rFonts w:ascii="Arial;sans-serif" w:hAnsi="Arial;sans-serif"/>
          <w:b/>
          <w:color w:val="000000"/>
          <w:sz w:val="20"/>
        </w:rPr>
        <w:t>Part I; Item 1. Financial Statements; Notes to Consolidated Financial Statements; Note (15) Restructuring</w:t>
      </w:r>
      <w:r>
        <w:rPr>
          <w:color w:val="000000"/>
        </w:rPr>
        <w:t xml:space="preserve">” </w:t>
      </w:r>
      <w:r>
        <w:rPr>
          <w:rFonts w:ascii="Arial;sans-serif" w:hAnsi="Arial;sans-serif"/>
          <w:b w:val="false"/>
          <w:color w:val="000000"/>
          <w:sz w:val="20"/>
        </w:rPr>
        <w:t xml:space="preserve">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w:t>
      </w:r>
    </w:p>
    <w:tbl>
      <w:tblPr>
        <w:tblW w:w="799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436"/>
        <w:gridCol w:w="286"/>
        <w:gridCol w:w="109"/>
        <w:gridCol w:w="109"/>
        <w:gridCol w:w="109"/>
        <w:gridCol w:w="211"/>
        <w:gridCol w:w="541"/>
        <w:gridCol w:w="109"/>
        <w:gridCol w:w="109"/>
        <w:gridCol w:w="109"/>
        <w:gridCol w:w="109"/>
        <w:gridCol w:w="323"/>
        <w:gridCol w:w="32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On a quarterly basis, we record income tax expense or (benefit) based on the expected annualized effective tax rate for the various taxing jurisdictions in which we operate our businesses. Due to the unusually large number of stock option exercises during the three months ended June 30, 2026, we recognized a discrete tax benefit in the period related to difference between the book and tax expense on those exercises, resulting in a net tax benefit for the quarter and year to date periods.</w:t>
      </w:r>
      <w:r>
        <w:rPr>
          <w:color w:val="000000"/>
        </w:rPr>
        <w:t xml:space="preserve"> </w:t>
      </w:r>
      <w:r>
        <w:rPr>
          <w:rFonts w:ascii="Arial;sans-serif" w:hAnsi="Arial;sans-serif"/>
          <w:b w:val="false"/>
          <w:color w:val="000000"/>
          <w:sz w:val="20"/>
        </w:rPr>
        <w:t>There were no other unusual tax adjustments recorded in either period.</w:t>
      </w:r>
    </w:p>
    <w:p>
      <w:pPr>
        <w:pStyle w:val="TextBody"/>
        <w:bidi w:val="0"/>
        <w:spacing w:lineRule="auto" w:line="26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2026, Compared to Six Months Ended June 30, 2025</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273"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9319" w:type="dxa"/>
        <w:jc w:val="center"/>
        <w:tblInd w:w="0" w:type="dxa"/>
        <w:tblLayout w:type="fixed"/>
        <w:tblCellMar>
          <w:top w:w="28" w:type="dxa"/>
          <w:left w:w="28" w:type="dxa"/>
          <w:bottom w:w="28" w:type="dxa"/>
          <w:right w:w="28" w:type="dxa"/>
        </w:tblCellMar>
      </w:tblPr>
      <w:tblGrid>
        <w:gridCol w:w="739"/>
        <w:gridCol w:w="649"/>
        <w:gridCol w:w="651"/>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69"/>
        <w:gridCol w:w="271"/>
        <w:gridCol w:w="301"/>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3" w:type="dxa"/>
            <w:gridSpan w:val="3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69,199 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54,767 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14,432 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3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Compared with the prior-year period, revenue for the six months ended June 30, 2026 increased due primarily to growth in Auto/EV, Defense/Aerospace and Life Sciences, partially offset by a decrease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9170" w:type="dxa"/>
        <w:jc w:val="center"/>
        <w:tblInd w:w="0" w:type="dxa"/>
        <w:tblLayout w:type="fixed"/>
        <w:tblCellMar>
          <w:top w:w="28" w:type="dxa"/>
          <w:left w:w="28" w:type="dxa"/>
          <w:bottom w:w="28" w:type="dxa"/>
          <w:right w:w="28" w:type="dxa"/>
        </w:tblCellMar>
      </w:tblPr>
      <w:tblGrid>
        <w:gridCol w:w="735"/>
        <w:gridCol w:w="646"/>
        <w:gridCol w:w="658"/>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54"/>
        <w:gridCol w:w="257"/>
        <w:gridCol w:w="361"/>
      </w:tblGrid>
      <w:tr>
        <w:trPr/>
        <w:tc>
          <w:tcPr>
            <w:tcW w:w="7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121.6</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60,656 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53,108 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7,548 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3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six months ended June 30, 2026 increased primarily in Defense/Aerospace, Semi and Auto/EV and partially offset primarily by the decline in Safety/Security.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52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decreased 20 basis points in the six months ended June 30, 2026, compared to the same prior year period due to unfavorable product mix.</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04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six months ended June 30, 2026, increased compared to the prior year period due primarily to increases in commissions and payroll related merit increases offset partially by a decline in warranty expense.</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346"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18"/>
        <w:gridCol w:w="218"/>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six months ended June 30, 2026, increased compared to the prior year period due primarily to an increase in payroll related merit increases and outside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611"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six months ended June 30, 2026, increased compared to the prior year period due primarily to increases in payroll related merit increases, officer bonuses and increased stock based compensation costs as a result of the June 17, 2026 equity modification for awards granted to independent directors in March 2026, offset partially by a decrease resulting from the change in fair value of the contingent consideration and decreases in legal and other professional service fees.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9151"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99"/>
        <w:gridCol w:w="30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Amortization of acquired intangible assets for the six months ended June 30, 2026, decreased compared to the prior year period due to the declining pattern of benefit for the assets and the May 2026 completion of amortization of intangible assets from the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acquisition, offset partially by the impact of changes in foreign exchange rates.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649"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81"/>
        <w:gridCol w:w="286"/>
        <w:gridCol w:w="109"/>
        <w:gridCol w:w="109"/>
        <w:gridCol w:w="109"/>
        <w:gridCol w:w="211"/>
        <w:gridCol w:w="481"/>
        <w:gridCol w:w="109"/>
        <w:gridCol w:w="109"/>
        <w:gridCol w:w="109"/>
        <w:gridCol w:w="109"/>
        <w:gridCol w:w="206"/>
        <w:gridCol w:w="206"/>
        <w:gridCol w:w="292"/>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46.3%</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six months ended June 30, 2026, are primarily the costs associated with our March 31, 2026 CEO transition. The costs for the six months ended June 30, 2025 represent severance and retention accruals along with the payroll-related costs recognized for the Videology Consolidation as well as costs related to the leadership transition in our Environmental Technologies division. See “</w:t>
      </w:r>
      <w:r>
        <w:rPr>
          <w:rFonts w:ascii="Arial;sans-serif" w:hAnsi="Arial;sans-serif"/>
          <w:b/>
          <w:color w:val="000000"/>
          <w:sz w:val="20"/>
        </w:rPr>
        <w:t>Part I; Item 1. Financial Statements; Notes to Consolidated Financial Statements; Note (15) Restructuring</w:t>
      </w:r>
      <w:r>
        <w:rPr>
          <w:color w:val="000000"/>
        </w:rPr>
        <w:t xml:space="preserve">” </w:t>
      </w:r>
      <w:r>
        <w:rPr>
          <w:rFonts w:ascii="Arial;sans-serif" w:hAnsi="Arial;sans-serif"/>
          <w:b w:val="false"/>
          <w:color w:val="000000"/>
          <w:sz w:val="20"/>
        </w:rPr>
        <w:t xml:space="preserve">for further details. </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w:t>
      </w:r>
    </w:p>
    <w:tbl>
      <w:tblPr>
        <w:tblW w:w="7996"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541"/>
        <w:gridCol w:w="286"/>
        <w:gridCol w:w="109"/>
        <w:gridCol w:w="109"/>
        <w:gridCol w:w="109"/>
        <w:gridCol w:w="211"/>
        <w:gridCol w:w="481"/>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a quarterly basis, we record income tax expense or (benefit) based on the expected annualized effective tax rate for the various taxing jurisdictions in which we operate our businesses. Due to the unusually large number of stock option exercises during the six months ended June 30, 2026, we recognized a discrete tax benefit in the three month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ended June 30, 2026 related to difference between the book and tax expense on those exercises, resulting in a net tax benefit for the quarter and year to date periods.</w:t>
      </w:r>
      <w:r>
        <w:rPr>
          <w:color w:val="000000"/>
        </w:rPr>
        <w:t xml:space="preserve"> </w:t>
      </w:r>
      <w:r>
        <w:rPr>
          <w:rFonts w:ascii="Arial;sans-serif" w:hAnsi="Arial;sans-serif"/>
          <w:b w:val="false"/>
          <w:color w:val="000000"/>
          <w:sz w:val="20"/>
        </w:rPr>
        <w:t>There were no other unusual tax adjustments recorded in either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and wafer production equipment by semiconductor manufacturers and companies that specialize in the testing of ICs. The cyclical and volatile nature of demand for this equipment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 on October 15, 2021, we entered into an Amended and Restated Loan and Security Agreement with M&amp;T which, was subsequently amended on October 28, 2021, December 30, 2021, September 20, 2022, May 2, 2024, December 18, 2024 and August 5, 2025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Credit Facility has a five-year contract period that began on October 15, 2021, and, as amended, expires on May 2, 2031, and draws under the Term Note, as amended, are permissible until May 2, 2026. On May 4, 2026, we amended the Credit Facility, effective as of April 30, 2026, to extend our ability to draw on the Term Note through August 28,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June 30, 2026, we have not borrowed any amounts under the $10.0 million Revolving Facility. Our borrowings under the Term Note are discussed below and our available drawing capacity under the Term Note at June 30, 2026, was $30.0 million. The principal balance of the Revolving Facility and the principal balance of any amount drawn under the Term Note accrues interest based on the Secured Overnight Financing Rate or a bank-defined base rate plus an applicable margin, depending on leverage.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were required to request consent from M&amp;T if we wish to utilize our Revolving Facility and we formally pledged a portion of our cash holdings equal to our total outstanding debt with M&amp;T.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May 4, 2026, we executed the Seventh Amendment to the Loan Agreement, effective as of April 30, 2026, to extend our ability to draw on the Term Note through August 28, 2026.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waiver has expired and at June 30, 2026, we were in compliance with all covenants included in the Loan Agreement. </w:t>
      </w:r>
    </w:p>
    <w:p>
      <w:pPr>
        <w:pStyle w:val="TextBody"/>
        <w:bidi w:val="0"/>
        <w:spacing w:lineRule="auto" w:line="288" w:before="0" w:after="24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June 30, 2026, it was 5.8% based on current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We assumed debt with the acquisition of Alfamation™ which totaled $11.3 million as of the acquisition date. The debt acquired is comprised of both fixed and variable rate bank issued term loans as well as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w:t>
      </w:r>
    </w:p>
    <w:p>
      <w:pPr>
        <w:pStyle w:val="TextBody"/>
        <w:bidi w:val="0"/>
        <w:spacing w:lineRule="auto" w:line="288" w:before="0" w:after="200"/>
        <w:jc w:val="left"/>
        <w:rPr/>
      </w:pPr>
      <w:r>
        <w:rPr>
          <w:rFonts w:ascii="Arial;sans-serif" w:hAnsi="Arial;sans-serif"/>
          <w:b w:val="false"/>
          <w:color w:val="000000"/>
          <w:sz w:val="20"/>
        </w:rPr>
        <w:t>At June 30, 2026, Alfamation</w:t>
      </w:r>
      <w:r>
        <w:rPr>
          <w:color w:val="000000"/>
        </w:rPr>
        <w:t>™’</w:t>
      </w:r>
      <w:r>
        <w:rPr>
          <w:rFonts w:ascii="Arial;sans-serif" w:hAnsi="Arial;sans-serif"/>
          <w:b w:val="false"/>
          <w:color w:val="000000"/>
          <w:sz w:val="20"/>
        </w:rPr>
        <w:t>s debt was $4.5 million, including $2.5 million that is backed by Alfamation</w:t>
      </w:r>
      <w:r>
        <w:rPr>
          <w:color w:val="000000"/>
        </w:rPr>
        <w:t>™’</w:t>
      </w:r>
      <w:r>
        <w:rPr>
          <w:rFonts w:ascii="Arial;sans-serif" w:hAnsi="Arial;sans-serif"/>
          <w:b w:val="false"/>
          <w:color w:val="000000"/>
          <w:sz w:val="20"/>
        </w:rPr>
        <w:t>s accounts receivable. The reduction since the acquisition date represents repayments of short-term instruments and principal payments on long-term debt, net of new borrowings that are backed by Alfamation</w:t>
      </w:r>
      <w:r>
        <w:rPr>
          <w:color w:val="000000"/>
        </w:rPr>
        <w:t>™’</w:t>
      </w:r>
      <w:r>
        <w:rPr>
          <w:rFonts w:ascii="Arial;sans-serif" w:hAnsi="Arial;sans-serif"/>
          <w:b w:val="false"/>
          <w:color w:val="000000"/>
          <w:sz w:val="20"/>
        </w:rPr>
        <w:t>s accounts receivable. The short-term variable financing rate at June 30, 2026, was 3.5%. At June 30, 2026, the weighted average interest rate payable on the bank issued term loans was 0.6% for fixed rate debt and 4.2% for variable rate debt and the overall weighted average interest rate for the bank issued term loans was 3.5%.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six months ended June 30, 2026 and 2025, related to our various debt arrangements was $0.1 million and $0.3 million, respectively.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cash equivalents, restricted cash and working capital were as follows:</w:t>
      </w:r>
    </w:p>
    <w:tbl>
      <w:tblPr>
        <w:tblW w:w="5609"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11"/>
        <w:gridCol w:w="751"/>
        <w:gridCol w:w="109"/>
        <w:gridCol w:w="109"/>
        <w:gridCol w:w="109"/>
        <w:gridCol w:w="109"/>
        <w:gridCol w:w="266"/>
        <w:gridCol w:w="949"/>
        <w:gridCol w:w="19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14,216 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of June 30, 2026, $10.3 million, or 47%,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 As discussed above in “</w:t>
      </w:r>
      <w:r>
        <w:rPr>
          <w:rFonts w:ascii="Arial;sans-serif" w:hAnsi="Arial;sans-serif"/>
          <w:b/>
          <w:color w:val="000000"/>
          <w:sz w:val="20"/>
        </w:rPr>
        <w:t>Credit Facility</w:t>
      </w:r>
      <w:r>
        <w:rPr>
          <w:color w:val="000000"/>
        </w:rPr>
        <w:t xml:space="preserve">” </w:t>
      </w:r>
      <w:r>
        <w:rPr>
          <w:rFonts w:ascii="Arial;sans-serif" w:hAnsi="Arial;sans-serif"/>
          <w:b w:val="false"/>
          <w:color w:val="000000"/>
          <w:sz w:val="20"/>
        </w:rPr>
        <w:t>and in “</w:t>
      </w:r>
      <w:r>
        <w:rPr>
          <w:rFonts w:ascii="Arial;sans-serif" w:hAnsi="Arial;sans-serif"/>
          <w:b/>
          <w:color w:val="000000"/>
          <w:sz w:val="20"/>
        </w:rPr>
        <w:t>Note (9) Debt</w:t>
      </w:r>
      <w:r>
        <w:rPr>
          <w:color w:val="000000"/>
        </w:rPr>
        <w:t>”</w:t>
      </w:r>
      <w:r>
        <w:rPr>
          <w:rFonts w:ascii="Arial;sans-serif" w:hAnsi="Arial;sans-serif"/>
          <w:b w:val="false"/>
          <w:color w:val="000000"/>
          <w:sz w:val="20"/>
        </w:rPr>
        <w:t>, on August 5, 2025 we formally pledged a portion of our cash holdings equal to our total outstanding debt with M&amp;T. The waiver has expired and at June 30, 2026, we were in compliance with all covenants included in the Loan Agreement. On May 4, 2026, we amended the Credit Facility, effective as of April 30, 2026, to extend our ability to draw on the Term Note through August 28, 2026.</w:t>
      </w:r>
    </w:p>
    <w:p>
      <w:pPr>
        <w:pStyle w:val="TextBody"/>
        <w:bidi w:val="0"/>
        <w:spacing w:lineRule="auto" w:line="288" w:before="0" w:after="200"/>
        <w:jc w:val="left"/>
        <w:rPr/>
      </w:pPr>
      <w:r>
        <w:rPr>
          <w:rFonts w:ascii="Arial;sans-serif" w:hAnsi="Arial;sans-serif"/>
          <w:b w:val="false"/>
          <w:color w:val="000000"/>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is discussed in further detail in “</w:t>
      </w:r>
      <w:r>
        <w:rPr>
          <w:rFonts w:ascii="Arial;sans-serif" w:hAnsi="Arial;sans-serif"/>
          <w:b/>
          <w:color w:val="000000"/>
          <w:sz w:val="20"/>
        </w:rPr>
        <w:t>Note (9)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color w:val="000000"/>
        </w:rPr>
        <w:t xml:space="preserve"> </w:t>
      </w:r>
      <w:r>
        <w:rPr>
          <w:rFonts w:ascii="Arial;sans-serif" w:hAnsi="Arial;sans-serif"/>
          <w:b w:val="false"/>
          <w:color w:val="000000"/>
          <w:sz w:val="20"/>
        </w:rPr>
        <w:t xml:space="preserve">Net cash provided by operating activities for the six months ended June 30, 2026, was $3.0 million, a decrease of $1.8 million compared to the prior year period. The decrease was driven primarily by the changes in accounts receivable, driven by increased revenue outpacing the rate of collections period-over-period, along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 in accounts payable, offset partially by the increase in net earnings and the change in inventory from the comparative period.</w:t>
      </w:r>
    </w:p>
    <w:p>
      <w:pPr>
        <w:pStyle w:val="TextBody"/>
        <w:bidi w:val="0"/>
        <w:spacing w:lineRule="auto" w:line="288" w:before="0" w:after="200"/>
        <w:jc w:val="left"/>
        <w:rPr/>
      </w:pPr>
      <w:r>
        <w:rPr>
          <w:rFonts w:ascii="Arial;sans-serif" w:hAnsi="Arial;sans-serif"/>
          <w:b w:val="false"/>
          <w:i/>
          <w:color w:val="000000"/>
          <w:sz w:val="20"/>
        </w:rPr>
        <w:t>Investing Activities:</w:t>
      </w:r>
      <w:r>
        <w:rPr>
          <w:color w:val="000000"/>
        </w:rPr>
        <w:t xml:space="preserve"> </w:t>
      </w:r>
      <w:r>
        <w:rPr>
          <w:rFonts w:ascii="Arial;sans-serif" w:hAnsi="Arial;sans-serif"/>
          <w:b w:val="false"/>
          <w:color w:val="000000"/>
          <w:sz w:val="20"/>
        </w:rPr>
        <w:t xml:space="preserve">Net cash used in investing activities for the six months ended June 30, 2026, was $1.0 million, an increased usage of $0.4 million compared to the prior year period due to increased capital expenditures. </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provided by financing activities for the six months ended June 30, 2026, was $2.3 million, whereas we reported a cash usage in financing activities of $5.6 million for the prior year period. During the six months ended June 30, 2026, we reported short term borrowings, net of repayments, of $0.9 million, which is related to the short-term variable financing used at Alfamation</w:t>
      </w:r>
      <w:r>
        <w:rPr>
          <w:color w:val="000000"/>
        </w:rPr>
        <w:t>™</w:t>
      </w:r>
      <w:r>
        <w:rPr>
          <w:rFonts w:ascii="Arial;sans-serif" w:hAnsi="Arial;sans-serif"/>
          <w:b w:val="false"/>
          <w:color w:val="000000"/>
          <w:sz w:val="20"/>
        </w:rPr>
        <w:t>. We did not have any stock repurchases under the March 5, 2025 renewal of the previously expired share repurchase plan in either the current year or prior year periods. As a result of our stock price increase between January 1, 2026 and June 30, 2026, we saw an increase in stock option exercise activity, which resulted in an increased cash inflow of $3.4 million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 Item 1. Financial Statements; Notes to Consolidated Financial Statements; Note (2) Summary of Significant Accounting Policies and (u)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three months ended June 30, 2026, that have or are reasonably likely to have, a current or future effect on our financial condition, changes in financial condition, revenue or expenses, results of operations, liquidity, capital expenditures or capital resources that is material to our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CEO/CFO Conclusions about the Effectiveness of the Disclosure Controls and Procedures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not effective at the reasonable assurance level because of a material weakness in internal control over financial reporting, as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Notwithstanding the identified material weakness, management believes that the Consolidated Financial Statements included in this Quarterly Report on Form 10-Q fairly present, in all material respects, the Company’s financial condition, results of operations and cash flows for the periods presented.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Management has determined that the Company had the following material weakness in its internal control over financial reporting:</w:t>
      </w:r>
    </w:p>
    <w:p>
      <w:pPr>
        <w:pStyle w:val="TextBody"/>
        <w:bidi w:val="0"/>
        <w:spacing w:lineRule="auto" w:line="288" w:before="0" w:after="200"/>
        <w:ind w:left="0" w:right="0" w:hanging="360"/>
        <w:jc w:val="left"/>
        <w:rPr/>
      </w:pPr>
      <w:r>
        <w:rPr>
          <w:rFonts w:ascii="Arial;sans-serif" w:hAnsi="Arial;sans-serif"/>
          <w:b w:val="false"/>
          <w:color w:val="000000"/>
          <w:sz w:val="20"/>
        </w:rPr>
        <w:t>(a)We did not appropriately design controls over changes to the inventory reporting process at Alfamation</w:t>
      </w:r>
      <w:r>
        <w:rPr>
          <w:color w:val="000000"/>
        </w:rPr>
        <w:t xml:space="preserve">™ </w:t>
      </w:r>
      <w:r>
        <w:rPr>
          <w:rFonts w:ascii="Arial;sans-serif" w:hAnsi="Arial;sans-serif"/>
          <w:b w:val="false"/>
          <w:color w:val="000000"/>
          <w:sz w:val="20"/>
        </w:rPr>
        <w:t>at the beginning of 2026. In addition, our inventory reporting process designed to ensure the completeness and accuracy of inventory, cost of revenues and margin information did not operate with sufficient precision to prevent or detect the misstatement timely. The convergence of these deficiencies caused the overstatement of ending inventory at March 31, 2026 and the understatement of cost of revenues for the three months ended March 31, 2026, along with resultant changes to gross profit, income tax expense, net income, comprehensive earnings, retained earnings and earnings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Although management concluded the errors were not material to the previously issued March 31, 2026 financial statements, recording the correction solely in the second quarter would have been material to second quarter results; accordingly, the Company revised the March 31, 2026 financial statements. Management has concluded the aggregation of these deficiencies created a reasonable possibility that a material misstatement of interim or annual financial statements would not have been prevented or detected on a timely basis and therefore constitutes a material weakness.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Remediation Efforts</w:t>
      </w:r>
    </w:p>
    <w:p>
      <w:pPr>
        <w:pStyle w:val="TextBody"/>
        <w:bidi w:val="0"/>
        <w:spacing w:lineRule="auto" w:line="288" w:before="0" w:after="200"/>
        <w:jc w:val="left"/>
        <w:rPr/>
      </w:pPr>
      <w:r>
        <w:rPr>
          <w:rFonts w:ascii="Arial;sans-serif" w:hAnsi="Arial;sans-serif"/>
          <w:b w:val="false"/>
          <w:color w:val="000000"/>
          <w:sz w:val="20"/>
        </w:rPr>
        <w:t>Management has implemented the following remediation steps to address the material weakness discussed above 1) a full physical inventory was performed at Alfamation</w:t>
      </w:r>
      <w:r>
        <w:rPr>
          <w:color w:val="000000"/>
        </w:rPr>
        <w:t xml:space="preserve">™ </w:t>
      </w:r>
      <w:r>
        <w:rPr>
          <w:rFonts w:ascii="Arial;sans-serif" w:hAnsi="Arial;sans-serif"/>
          <w:b w:val="false"/>
          <w:color w:val="000000"/>
          <w:sz w:val="20"/>
        </w:rPr>
        <w:t>at June 30, 2026, to ensure ending balances were reflected completely and accurately 2) physical inventory counts will be performed quarterly until such time management determines that the inventory reporting process output reports and related controls are designed and operating effectively 3) to ensure that management review controls operate with sufficient precision, internal forecasts have been reviewed and revised to ensure overhead absorption impacts and margin on projects to be delivered are properly reflected in forward quarter forecasts 4) additional checks have been implemented to ensure that costs for deferred revenue transactions are also properly deferred. Remediation will not be complete until there has been appropriate time for us to conclude through testing that the controls are designed and operating effectively. Management expects to be able to demonstrate operating effectiveness by fiscal year-end.</w:t>
      </w:r>
    </w:p>
    <w:p>
      <w:pPr>
        <w:pStyle w:val="TextBody"/>
        <w:bidi w:val="0"/>
        <w:spacing w:lineRule="auto" w:line="26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described above, we are in the process of implementing changes to our internal control over financial reporting to remediate the material weakness described herein. Except as noted in the previous sentence and as set forth above in connection with the material weakness,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jc w:val="center"/>
        <w:rPr/>
      </w:pPr>
      <w:r>
        <w:rPr>
          <w:rFonts w:ascii="Arial;sans-serif" w:hAnsi="Arial;sans-serif"/>
          <w:b/>
          <w:color w:val="000000"/>
          <w:sz w:val="20"/>
        </w:rPr>
        <w:t>PART II.</w:t>
      </w:r>
      <w:r>
        <w:rPr>
          <w:color w:val="000000"/>
        </w:rPr>
        <w:t xml:space="preserve"> </w:t>
      </w: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1A. Risk Factors</w:t>
      </w:r>
    </w:p>
    <w:p>
      <w:pPr>
        <w:pStyle w:val="TextBody"/>
        <w:bidi w:val="0"/>
        <w:spacing w:lineRule="auto" w:line="288" w:before="0" w:after="200"/>
        <w:jc w:val="left"/>
        <w:rPr/>
      </w:pPr>
      <w:r>
        <w:rPr>
          <w:rFonts w:ascii="Arial;sans-serif" w:hAnsi="Arial;sans-serif"/>
          <w:b w:val="false"/>
          <w:color w:val="000000"/>
          <w:sz w:val="20"/>
        </w:rPr>
        <w:t xml:space="preserve">Information regarding the primary risks and uncertainties that could materially and adversely affect our future performance or could cause actual results to differ materially from those expressed or implied in our forward-looking statements, appears in </w:t>
      </w:r>
      <w:r>
        <w:rPr>
          <w:color w:val="000000"/>
        </w:rPr>
        <w:t>“</w:t>
      </w:r>
      <w:r>
        <w:rPr>
          <w:rFonts w:ascii="Arial;sans-serif" w:hAnsi="Arial;sans-serif"/>
          <w:b/>
          <w:color w:val="000000"/>
          <w:sz w:val="20"/>
        </w:rPr>
        <w:t xml:space="preserve">Part I; Item 1A; Risk Factors” </w:t>
      </w:r>
      <w:r>
        <w:rPr>
          <w:rFonts w:ascii="Arial;sans-serif" w:hAnsi="Arial;sans-serif"/>
          <w:b w:val="false"/>
          <w:color w:val="000000"/>
          <w:sz w:val="20"/>
        </w:rPr>
        <w:t>of our 2025 Form 10-K. Other than the following risk factor noted below, there have been no material changes from the risk factors set forth in our 2025 Form 10-K or subsequent Quarterly Reports on Form 10-Q.</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We have identified a material weakness in our internal control over financial reporting, and if we are unable to remediate the material weakness or maintain an effective system of internal control over financial reporting, our ability to produce timely and accurate financial statements and comply with applicable laws and regulations could be adversely impacted.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the six months ended June 30, 2026, we concluded that our internal control over financial reporting was not effective due to a material weakness related to our internal control over financial reporting. As a result, there is a reasonable possibility that a material misstatement of our annual or interim Consolidated Financial Statements would not be prevented or detected on a timely basis.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material weakness increases the risk that errors, fraud, or misstatements could occur and remain undetected, which could require us to restate our financial statements, result in SEC enforcement actions, litigation, or loss of investor confidence, and impair our ability to timely and accurately report financial results. Any restatement or delay in reporting could adversely affect our reputation, business relationships, access to capital, regulatory compliance, NYSE listing, and stock price.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cannot assure you that the measures we have taken to date, or any measures we may take in the future, will be sufficient to remediate the identified material weakness or prevent additional material weaknesses or significant deficiencies from occurring in the future. Changes in our business, acquisitions, growth, personnel turnover, system implementations, increased transaction complexity, or expansion into new markets could further strain our control environment and increase the risk of control failures. If we are unable to maintain effective internal control over financial reporting on an ongoing basis, we may not be able to reliably produce accurate financial statements, comply with applicable reporting requirements, or sustain market confidence, which could have a material adverse effect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2.Unregistered Sales of Equity Securities and Use of Proceeds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purchases made by or on behalf of the Company or any “affiliated purchaser” as defined in Rule 10b-18(a)(3) under the Exchange Act, of our common stock during the three months ended June 30, 2026, including shares of common stock surrendered to us by employees to cover tax withholdings under the net settlement provisions of our restricted stock awards and those made pursuant to publicly announced plans or programs and those not made pursuant to publicly announced plans or programs.</w:t>
      </w:r>
    </w:p>
    <w:tbl>
      <w:tblPr>
        <w:tblW w:w="7113" w:type="dxa"/>
        <w:jc w:val="center"/>
        <w:tblInd w:w="0" w:type="dxa"/>
        <w:tblLayout w:type="fixed"/>
        <w:tblCellMar>
          <w:top w:w="28" w:type="dxa"/>
          <w:left w:w="28" w:type="dxa"/>
          <w:bottom w:w="28" w:type="dxa"/>
          <w:right w:w="28" w:type="dxa"/>
        </w:tblCellMar>
      </w:tblPr>
      <w:tblGrid>
        <w:gridCol w:w="352"/>
        <w:gridCol w:w="310"/>
        <w:gridCol w:w="313"/>
        <w:gridCol w:w="109"/>
        <w:gridCol w:w="109"/>
        <w:gridCol w:w="109"/>
        <w:gridCol w:w="365"/>
        <w:gridCol w:w="365"/>
        <w:gridCol w:w="366"/>
        <w:gridCol w:w="109"/>
        <w:gridCol w:w="109"/>
        <w:gridCol w:w="109"/>
        <w:gridCol w:w="232"/>
        <w:gridCol w:w="712"/>
        <w:gridCol w:w="120"/>
        <w:gridCol w:w="109"/>
        <w:gridCol w:w="109"/>
        <w:gridCol w:w="109"/>
        <w:gridCol w:w="444"/>
        <w:gridCol w:w="444"/>
        <w:gridCol w:w="446"/>
        <w:gridCol w:w="109"/>
        <w:gridCol w:w="109"/>
        <w:gridCol w:w="109"/>
        <w:gridCol w:w="391"/>
        <w:gridCol w:w="391"/>
        <w:gridCol w:w="5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br/>
              <w:t>Number</w:t>
              <w:br/>
              <w:t>of Shares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Total </w:t>
              <w:br/>
              <w:t>Number</w:t>
              <w:br/>
              <w:t>of Shares</w:t>
              <w:br/>
              <w:t>Purchased</w:t>
              <w:br/>
              <w:t>as Part of</w:t>
              <w:br/>
              <w:t>Publicly</w:t>
              <w:br/>
              <w:t>Announced</w:t>
              <w:br/>
              <w:t>Plans</w:t>
              <w:br/>
              <w:t xml:space="preserve">or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Approximate</w:t>
              <w:br/>
              <w:t>Dollar</w:t>
              <w:br/>
              <w:t xml:space="preserve">Value of </w:t>
              <w:br/>
              <w:t>Shares</w:t>
              <w:br/>
              <w:t xml:space="preserve">That May </w:t>
              <w:br/>
              <w:t>Yet Be</w:t>
              <w:br/>
              <w:t xml:space="preserve">Purchased </w:t>
              <w:br/>
              <w:t>Under</w:t>
              <w:br/>
              <w:t>the Plans or</w:t>
              <w:br/>
              <w:t>Programs</w:t>
            </w:r>
          </w:p>
        </w:tc>
      </w:tr>
      <w:tr>
        <w:trPr/>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1,526 </w:t>
            </w:r>
          </w:p>
        </w:tc>
        <w:tc>
          <w:tcPr>
            <w:tcW w:w="3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1,526 </w:t>
            </w:r>
          </w:p>
        </w:tc>
        <w:tc>
          <w:tcPr>
            <w:tcW w:w="3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The Repurchase Plan may be suspended or discontinued at any time without prior notice.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repurchases of shares under the Repurchase Plan during the six months ended June 30, 2026. As of June 30, 2026, we had repurchased 141,117 shares under the Repurchase Plan at a fair value of $1.0 million. All of the shares repurchased pursuant to the Repurchase Plan have been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5.Other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second quarter ended June 30, 2026,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C02026"/>
          <w:sz w:val="20"/>
        </w:rPr>
        <w:t>Item 6.</w:t>
      </w:r>
      <w:r>
        <w:rPr>
          <w:rFonts w:ascii="Arial;sans-serif" w:hAnsi="Arial;sans-serif"/>
          <w:b/>
          <w:color w:val="C02026"/>
          <w:sz w:val="20"/>
        </w:rPr>
        <w:t>Exhibits</w:t>
      </w:r>
    </w:p>
    <w:tbl>
      <w:tblPr>
        <w:tblW w:w="10205" w:type="dxa"/>
        <w:jc w:val="left"/>
        <w:tblInd w:w="0" w:type="dxa"/>
        <w:tblLayout w:type="fixed"/>
        <w:tblCellMar>
          <w:top w:w="28" w:type="dxa"/>
          <w:left w:w="28" w:type="dxa"/>
          <w:bottom w:w="28" w:type="dxa"/>
          <w:right w:w="28" w:type="dxa"/>
        </w:tblCellMar>
      </w:tblPr>
      <w:tblGrid>
        <w:gridCol w:w="331"/>
        <w:gridCol w:w="290"/>
        <w:gridCol w:w="292"/>
        <w:gridCol w:w="2380"/>
        <w:gridCol w:w="2173"/>
        <w:gridCol w:w="2179"/>
        <w:gridCol w:w="175"/>
        <w:gridCol w:w="175"/>
        <w:gridCol w:w="176"/>
        <w:gridCol w:w="250"/>
        <w:gridCol w:w="219"/>
        <w:gridCol w:w="176"/>
        <w:gridCol w:w="220"/>
        <w:gridCol w:w="220"/>
        <w:gridCol w:w="221"/>
        <w:gridCol w:w="211"/>
        <w:gridCol w:w="211"/>
        <w:gridCol w:w="30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Number</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Form</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 No.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Filing Date</w:t>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Seventh Amendment to Amended and Restated Loan and Security Agreement, dated April 30, 2026, among InTest Corporation, Ambrell Corporation, inTEST EMS, LLC, Temptronic Corporation, Videology Imaging Corporation, Acculogic Ltd., Acculogic Inc., Alfamation US, Inc. and M&amp;T Bank</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001-36117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May 5, 2026</w:t>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31.1</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60630xex311.htm">
              <w:r>
                <w:rPr>
                  <w:rStyle w:val="InternetLink"/>
                  <w:rFonts w:ascii="Arial;sans-serif" w:hAnsi="Arial;sans-serif"/>
                  <w:b w:val="false"/>
                  <w:color w:val="0000FF"/>
                  <w:sz w:val="16"/>
                  <w:u w:val="single"/>
                </w:rPr>
                <w:t>Certification of Chief Executive Officer pursuant to Rule 13a-14(a)</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31.2</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60630xex312.htm">
              <w:r>
                <w:rPr>
                  <w:rStyle w:val="InternetLink"/>
                  <w:rFonts w:ascii="Arial;sans-serif" w:hAnsi="Arial;sans-serif"/>
                  <w:b w:val="false"/>
                  <w:color w:val="0000FF"/>
                  <w:sz w:val="16"/>
                  <w:u w:val="single"/>
                </w:rPr>
                <w:t>Certification of Chief Financial Officer pursuant to Rule 13a-14(a)</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32.1</w:t>
            </w:r>
            <w:r>
              <w:rPr>
                <w:rFonts w:ascii="Arial;sans-serif" w:hAnsi="Arial;sans-serif"/>
                <w:b w:val="false"/>
                <w:color w:val="000000"/>
                <w:sz w:val="1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60630xex321.htm">
              <w:r>
                <w:rPr>
                  <w:rStyle w:val="InternetLink"/>
                  <w:rFonts w:ascii="Arial;sans-serif" w:hAnsi="Arial;sans-serif"/>
                  <w:b w:val="false"/>
                  <w:color w:val="0000FF"/>
                  <w:sz w:val="16"/>
                  <w:u w:val="single"/>
                </w:rPr>
                <w:t>Certification of Chief Executive Officer furnished pursuant to 18 U.S.C. Section 1350, as adopted pursuant to Section 906 of the Sarbanes-Oxley Act of 2002</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32.2</w:t>
            </w:r>
            <w:r>
              <w:rPr>
                <w:rFonts w:ascii="Arial;sans-serif" w:hAnsi="Arial;sans-serif"/>
                <w:b w:val="false"/>
                <w:color w:val="000000"/>
                <w:sz w:val="1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60630xex322.htm">
              <w:r>
                <w:rPr>
                  <w:rStyle w:val="InternetLink"/>
                  <w:rFonts w:ascii="Arial;sans-serif" w:hAnsi="Arial;sans-serif"/>
                  <w:b w:val="false"/>
                  <w:color w:val="0000FF"/>
                  <w:sz w:val="16"/>
                  <w:u w:val="single"/>
                </w:rPr>
                <w:t>Certification of Chief Financial Officer furnished pursuant to 18 U.S.C. Section 1350, as adopted pursuant to Section 906 of the Sarbanes-Oxley Act of 2002</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101.INS</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Instance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101.SCH</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101.CAL</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101.DEF</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101.LAB</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101.PRE</w:t>
            </w:r>
            <w:r>
              <w:rPr>
                <w:color w:val="000000"/>
              </w:rPr>
              <w:t>†</w:t>
            </w:r>
          </w:p>
        </w:tc>
        <w:tc>
          <w:tcPr>
            <w:tcW w:w="6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104</w:t>
            </w:r>
            <w:r>
              <w:rPr>
                <w:color w:val="000000"/>
              </w:rPr>
              <w:t>†</w:t>
            </w:r>
          </w:p>
        </w:tc>
        <w:tc>
          <w:tcPr>
            <w:tcW w:w="6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6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7a70f8f40b8c49a8b80536f6955ee71b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18"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259"/>
        <w:gridCol w:w="1259"/>
        <w:gridCol w:w="178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10, 2026</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Rogoff</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10, 2026</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Chief Financial Officer, Treasurer and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- 56 -</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Rogoff,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August 10,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August 10, 2026</w:t>
      </w:r>
    </w:p>
    <w:tbl>
      <w:tblPr>
        <w:tblW w:w="4973" w:type="dxa"/>
        <w:jc w:val="left"/>
        <w:tblInd w:w="0" w:type="dxa"/>
        <w:tblLayout w:type="fixed"/>
        <w:tblCellMar>
          <w:top w:w="28" w:type="dxa"/>
          <w:left w:w="28" w:type="dxa"/>
          <w:bottom w:w="28" w:type="dxa"/>
          <w:right w:w="28" w:type="dxa"/>
        </w:tblCellMar>
      </w:tblPr>
      <w:tblGrid>
        <w:gridCol w:w="124"/>
        <w:gridCol w:w="109"/>
        <w:gridCol w:w="109"/>
        <w:gridCol w:w="1418"/>
        <w:gridCol w:w="1418"/>
        <w:gridCol w:w="14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June 30, 2026 as filed with the Securities and Exchange Commission on the date hereof (the "Report"), I, Richard Rogoff,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96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8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Rogoff</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June 30, 2026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720"/>
        <w:ind w:left="0" w:right="0" w:hanging="27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806" w:type="dxa"/>
        <w:jc w:val="left"/>
        <w:tblInd w:w="0" w:type="dxa"/>
        <w:tblLayout w:type="fixed"/>
        <w:tblCellMar>
          <w:top w:w="28" w:type="dxa"/>
          <w:left w:w="28" w:type="dxa"/>
          <w:bottom w:w="28" w:type="dxa"/>
          <w:right w:w="28" w:type="dxa"/>
        </w:tblCellMar>
      </w:tblPr>
      <w:tblGrid>
        <w:gridCol w:w="233"/>
        <w:gridCol w:w="205"/>
        <w:gridCol w:w="207"/>
        <w:gridCol w:w="509"/>
        <w:gridCol w:w="509"/>
        <w:gridCol w:w="511"/>
        <w:gridCol w:w="109"/>
        <w:gridCol w:w="109"/>
        <w:gridCol w:w="109"/>
        <w:gridCol w:w="1260"/>
        <w:gridCol w:w="1260"/>
        <w:gridCol w:w="178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6262/000103626226000029/intt-20260504xex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29720</Words>
  <Characters>161408</Characters>
  <CharactersWithSpaces>188644</CharactersWithSpaces>
  <Paragraphs>4258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